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EB" w:rsidRDefault="00A76808">
      <w:pPr>
        <w:pStyle w:val="h1ChapterNumberExperiment"/>
      </w:pPr>
      <w:r>
        <w:t>  Experiment 15</w:t>
      </w:r>
    </w:p>
    <w:p w:rsidR="003E1CEB" w:rsidRDefault="00A76808">
      <w:pPr>
        <w:pStyle w:val="h2Title"/>
      </w:pPr>
      <w:r>
        <w:rPr>
          <w:color w:val="000000"/>
        </w:rPr>
        <w:t>Observing the Reaction Kinetics of Sucrose with Polarimetry</w:t>
      </w:r>
    </w:p>
    <w:p w:rsidR="003E1CEB" w:rsidRDefault="00A76808">
      <w:pPr>
        <w:pStyle w:val="h2HeadingPrime"/>
      </w:pPr>
      <w:r>
        <w:t>Required Vernier skills</w:t>
      </w:r>
    </w:p>
    <w:p w:rsidR="003E1CEB" w:rsidRDefault="00A76808">
      <w:pPr>
        <w:pStyle w:val="pVSParagraphTextwbullet"/>
      </w:pPr>
      <w:r>
        <w:rPr>
          <w:color w:val="000000"/>
        </w:rPr>
        <w:t>In order for student success in this experiment, it is expected that students know how to perform data collection and analysis using the Polarimeter. This is addressed in Experiment 6 and in the Polarimeter user guide.</w:t>
      </w:r>
    </w:p>
    <w:p w:rsidR="003E1CEB" w:rsidRDefault="00A76808">
      <w:pPr>
        <w:pStyle w:val="h2HeadingPrime"/>
      </w:pPr>
      <w:r>
        <w:t>Instructor notes</w:t>
      </w:r>
    </w:p>
    <w:p w:rsidR="003E1CEB" w:rsidRDefault="00A76808" w:rsidP="00F749E4">
      <w:pPr>
        <w:pStyle w:val="li"/>
        <w:numPr>
          <w:ilvl w:val="0"/>
          <w:numId w:val="1"/>
        </w:numPr>
        <w:spacing w:after="200"/>
      </w:pPr>
      <w:r>
        <w:rPr>
          <w:color w:val="000000"/>
        </w:rPr>
        <w:t xml:space="preserve">In the Electronic Resources you will find PDF and word-processing files of the student pages so you can print the activity for your students or distribute the file to them electronically. Sign in to your account at </w:t>
      </w:r>
      <w:hyperlink r:id="rId7" w:history="1">
        <w:r>
          <w:rPr>
            <w:rFonts w:ascii="Arial" w:hAnsi="Arial" w:cs="Arial"/>
            <w:b/>
            <w:bCs/>
            <w:color w:val="000000"/>
            <w:sz w:val="20"/>
            <w:szCs w:val="20"/>
          </w:rPr>
          <w:t>www.vernier.com/account</w:t>
        </w:r>
      </w:hyperlink>
      <w:r>
        <w:rPr>
          <w:color w:val="000000"/>
        </w:rPr>
        <w:t xml:space="preserve"> to access the Electronic Resources. See Appendix A for more information.</w:t>
      </w:r>
    </w:p>
    <w:p w:rsidR="003E1CEB" w:rsidRDefault="00A76808" w:rsidP="00F749E4">
      <w:pPr>
        <w:pStyle w:val="linumberedItem"/>
        <w:numPr>
          <w:ilvl w:val="0"/>
          <w:numId w:val="2"/>
        </w:numPr>
        <w:spacing w:after="200"/>
      </w:pPr>
      <w:r>
        <w:rPr>
          <w:color w:val="000000"/>
        </w:rPr>
        <w:t>If using computers, the Polarimeter requires Logger </w:t>
      </w:r>
      <w:r>
        <w:rPr>
          <w:rStyle w:val="i"/>
        </w:rPr>
        <w:t>Pro</w:t>
      </w:r>
      <w:r>
        <w:rPr>
          <w:color w:val="000000"/>
        </w:rPr>
        <w:t xml:space="preserve"> version 3.8.4.2 or newer. LabQuest users require LabQuest App version 1.6 or newer. An update can be downloaded from </w:t>
      </w:r>
      <w:hyperlink r:id="rId8" w:history="1">
        <w:r>
          <w:rPr>
            <w:rFonts w:ascii="Arial" w:hAnsi="Arial" w:cs="Arial"/>
            <w:b/>
            <w:bCs/>
            <w:color w:val="000000"/>
            <w:sz w:val="20"/>
            <w:szCs w:val="20"/>
          </w:rPr>
          <w:t>www.vernier.com/support/updates</w:t>
        </w:r>
      </w:hyperlink>
    </w:p>
    <w:p w:rsidR="003E1CEB" w:rsidRDefault="00A76808" w:rsidP="00F749E4">
      <w:pPr>
        <w:pStyle w:val="linumberedItem"/>
        <w:numPr>
          <w:ilvl w:val="0"/>
          <w:numId w:val="2"/>
        </w:numPr>
        <w:spacing w:after="200"/>
      </w:pPr>
      <w:r>
        <w:rPr>
          <w:color w:val="000000"/>
        </w:rPr>
        <w:t>The Vernier Polarimeter has two cables. One is a BTA connector that should be connected to CH1 of your interface and one is a BTD connector that should be connected to DIG1 of your interface. Both connections are required for data collection.</w:t>
      </w:r>
    </w:p>
    <w:p w:rsidR="003E1CEB" w:rsidRDefault="00A76808" w:rsidP="00F749E4">
      <w:pPr>
        <w:pStyle w:val="linumberedItem"/>
        <w:numPr>
          <w:ilvl w:val="0"/>
          <w:numId w:val="2"/>
        </w:numPr>
        <w:spacing w:after="200"/>
      </w:pPr>
      <w:r>
        <w:rPr>
          <w:color w:val="000000"/>
        </w:rPr>
        <w:t>After connecting the Polarimeter to a Vernier interface, open the data-collection program. If using Logger </w:t>
      </w:r>
      <w:r>
        <w:rPr>
          <w:rStyle w:val="i"/>
        </w:rPr>
        <w:t>Pro</w:t>
      </w:r>
      <w:r>
        <w:rPr>
          <w:color w:val="000000"/>
        </w:rPr>
        <w:t xml:space="preserve">, an experiment file will appear after a few seconds that has a graph of Illumination on the y-axis and Angle on the x-axis. If this does not occur, choose New from the File menu. </w:t>
      </w:r>
    </w:p>
    <w:p w:rsidR="003E1CEB" w:rsidRDefault="00A76808" w:rsidP="00F749E4">
      <w:pPr>
        <w:pStyle w:val="linumberedItem"/>
        <w:numPr>
          <w:ilvl w:val="0"/>
          <w:numId w:val="2"/>
        </w:numPr>
        <w:spacing w:after="200"/>
      </w:pPr>
      <w:r>
        <w:rPr>
          <w:color w:val="000000"/>
        </w:rPr>
        <w:t>Sucrose is often used as a calibration standard for polarimeters, which is why it is suggested in this experiment. You may also use other sugars and should obtain similar results for Part I.</w:t>
      </w:r>
    </w:p>
    <w:p w:rsidR="003E1CEB" w:rsidRDefault="00A76808" w:rsidP="00F749E4">
      <w:pPr>
        <w:pStyle w:val="linumberedItem"/>
        <w:numPr>
          <w:ilvl w:val="0"/>
          <w:numId w:val="2"/>
        </w:numPr>
        <w:spacing w:after="200"/>
      </w:pPr>
      <w:r>
        <w:rPr>
          <w:color w:val="000000"/>
        </w:rPr>
        <w:t>Literature values for specific rotation were obtained from the CRC Handbook, determined in water at concentrations of 1–5 g per 100 mL of solution, at 20–25°C, and at 589 nm.</w:t>
      </w:r>
    </w:p>
    <w:p w:rsidR="003E1CEB" w:rsidRDefault="00A76808" w:rsidP="00F749E4">
      <w:pPr>
        <w:pStyle w:val="linumberedItem"/>
        <w:numPr>
          <w:ilvl w:val="0"/>
          <w:numId w:val="2"/>
        </w:numPr>
        <w:spacing w:after="200"/>
      </w:pPr>
      <w:r>
        <w:rPr>
          <w:color w:val="000000"/>
        </w:rPr>
        <w:t>Invertase can be purchased from most chemical supply companies. However, you can also isolate invertase from baker’s yeast by doing the following: mix half a package of baker’s yeast with 40 mL of distilled water and centrifuge the mixture for 5 minutes. Decant the top layer; the remaining bottom layer is crude invertase enzyme.</w:t>
      </w:r>
    </w:p>
    <w:p w:rsidR="003E1CEB" w:rsidRDefault="00A76808" w:rsidP="00F749E4">
      <w:pPr>
        <w:pStyle w:val="linumberedItem"/>
        <w:numPr>
          <w:ilvl w:val="0"/>
          <w:numId w:val="2"/>
        </w:numPr>
        <w:spacing w:after="200"/>
      </w:pPr>
      <w:r>
        <w:rPr>
          <w:color w:val="000000"/>
        </w:rPr>
        <w:t>Invertase concentrations listed in the student guide are highly dependent on the activity of the enzyme, which varies based on manufacturer and species. Therefore, the concentrations listed are simply guidelines that produced the sample results below. It is strongly suggested that you run the experiment beforehand to ensure the proper concentrations for your specific enzyme.</w:t>
      </w:r>
    </w:p>
    <w:p w:rsidR="003E1CEB" w:rsidRDefault="00A76808">
      <w:pPr>
        <w:pStyle w:val="linumberedItem"/>
        <w:numPr>
          <w:ilvl w:val="0"/>
          <w:numId w:val="2"/>
        </w:numPr>
      </w:pPr>
      <w:r>
        <w:rPr>
          <w:color w:val="000000"/>
        </w:rPr>
        <w:lastRenderedPageBreak/>
        <w:t>If you would like your students to linearize the data to determine the reaction order instead of using a nonlinear fit, you will need to reduce the concentrations of acid and invertase used. The lab is currently designed to get an exponential decay quickly. To use the method of initial rates, you should try 1 M HCl and 5 mg/mL invertase. The change in angle of rotation will not be as obvious here and the reaction will need to be watched for a longer period of time.</w:t>
      </w:r>
    </w:p>
    <w:p w:rsidR="003E1CEB" w:rsidRDefault="00A76808">
      <w:pPr>
        <w:pStyle w:val="linumberedItem"/>
        <w:numPr>
          <w:ilvl w:val="0"/>
          <w:numId w:val="2"/>
        </w:numPr>
      </w:pPr>
      <w:r>
        <w:rPr>
          <w:color w:val="000000"/>
        </w:rPr>
        <w:t>There are several ways to locate the angle at which the maximum illumination occurs. This experiment suggests the student use a Gaussian fit.</w:t>
      </w:r>
    </w:p>
    <w:p w:rsidR="003E1CEB" w:rsidRDefault="00A76808">
      <w:pPr>
        <w:pStyle w:val="libulletItem"/>
        <w:numPr>
          <w:ilvl w:val="1"/>
          <w:numId w:val="3"/>
        </w:numPr>
        <w:spacing w:after="320"/>
        <w:ind w:left="907"/>
      </w:pPr>
      <w:r>
        <w:rPr>
          <w:color w:val="000000"/>
        </w:rPr>
        <w:t>Statistics: To simply get the angle with the highest illumination, highlight the peak of interest in Logger </w:t>
      </w:r>
      <w:r>
        <w:rPr>
          <w:rStyle w:val="i"/>
        </w:rPr>
        <w:t>Pro</w:t>
      </w:r>
      <w:r>
        <w:rPr>
          <w:color w:val="000000"/>
        </w:rPr>
        <w:t xml:space="preserve"> or LabQuest App, as shown in Figure 1. Choose Statistics from the Analyze menu. Record the angle value where the illumination is at a maximum, as presented in the box. This method is the fastest and will result in reproducibility of the angle of rotation measurement of ±2.0°. </w:t>
      </w:r>
    </w:p>
    <w:p w:rsidR="003E1CEB" w:rsidRDefault="005F698B">
      <w:pPr>
        <w:pStyle w:val="pimg"/>
      </w:pPr>
      <w:r>
        <w:rPr>
          <w:noProof/>
        </w:rPr>
        <w:drawing>
          <wp:inline distT="0" distB="0" distL="0" distR="0">
            <wp:extent cx="2857500" cy="1790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3E1CEB" w:rsidRDefault="00A76808">
      <w:pPr>
        <w:pStyle w:val="pGraphiclbl"/>
      </w:pPr>
      <w:r>
        <w:rPr>
          <w:color w:val="000000"/>
        </w:rPr>
        <w:t>Figure 1  Selection for fits</w:t>
      </w:r>
    </w:p>
    <w:p w:rsidR="003E1CEB" w:rsidRDefault="00A76808">
      <w:pPr>
        <w:pStyle w:val="libulletItem"/>
        <w:numPr>
          <w:ilvl w:val="0"/>
          <w:numId w:val="4"/>
        </w:numPr>
        <w:ind w:left="907"/>
      </w:pPr>
      <w:r>
        <w:rPr>
          <w:color w:val="000000"/>
        </w:rPr>
        <w:t>Gaussian: To improve your accuracy with a better fit, highlight the peak of interest using Logger </w:t>
      </w:r>
      <w:r>
        <w:rPr>
          <w:rStyle w:val="i"/>
        </w:rPr>
        <w:t>Pro</w:t>
      </w:r>
      <w:r>
        <w:rPr>
          <w:color w:val="000000"/>
        </w:rPr>
        <w:t xml:space="preserve"> or LabQuest App, as shown in Figure 1. Then, choose Curve Fit from the Analyze menu. From the list of available Equations, select Gaussian. Select Try Fit in Logger </w:t>
      </w:r>
      <w:r>
        <w:rPr>
          <w:rStyle w:val="i"/>
        </w:rPr>
        <w:t>Pro</w:t>
      </w:r>
      <w:r>
        <w:rPr>
          <w:color w:val="000000"/>
        </w:rPr>
        <w:t xml:space="preserve">; in LabQuest App, the fit will run automatically. The B coefficient presented represents the angle at maximum illumination. This method will result in reproducibility of the angle of rotation measurement of ±0.3°. The data are not a true Gaussian, but the ease and accuracy of this methodology make it a good option. For best results, be consistent in the way you select your peaks. </w:t>
      </w:r>
    </w:p>
    <w:p w:rsidR="003E1CEB" w:rsidRDefault="00A76808">
      <w:pPr>
        <w:pStyle w:val="libulletItem"/>
        <w:numPr>
          <w:ilvl w:val="0"/>
          <w:numId w:val="4"/>
        </w:numPr>
        <w:spacing w:after="213"/>
        <w:ind w:left="907"/>
      </w:pPr>
      <w:r>
        <w:rPr>
          <w:color w:val="000000"/>
        </w:rPr>
        <w:t>Cosine Squared: To incorporate all of your data into the fit, you can fit the data to its true waveform, a cosine squared, in either Logger </w:t>
      </w:r>
      <w:r>
        <w:rPr>
          <w:rStyle w:val="i"/>
        </w:rPr>
        <w:t>Pro</w:t>
      </w:r>
      <w:r>
        <w:rPr>
          <w:color w:val="000000"/>
        </w:rPr>
        <w:t xml:space="preserve"> or LabQuest App. Choose Curve Fit from the Analyze menu. From the list of available General Equations, select Cosine Squared. Select Try Fit in Logger </w:t>
      </w:r>
      <w:r>
        <w:rPr>
          <w:rStyle w:val="i"/>
        </w:rPr>
        <w:t>Pro</w:t>
      </w:r>
      <w:r>
        <w:rPr>
          <w:color w:val="000000"/>
        </w:rPr>
        <w:t xml:space="preserve">; in LabQuest App, the fit will run automatically. In this fit, the x-value corresponding to the maximum y-value is obtained from the negative of the phase shift parameter, –C. This is a nonlinear fit which undergoes numerous iterations and has the possibility of no convergence, which will result in an unreasonable answer. With all nonlinear fits, it is important to make sure the resulting value is reasonable based on the data presented in the graph. This method is the most time consuming; however, it will result in reproducibility of the angle of rotation measurement of ±0.1°. </w:t>
      </w:r>
    </w:p>
    <w:p w:rsidR="003E1CEB" w:rsidRDefault="00A76808">
      <w:pPr>
        <w:pStyle w:val="linumberedItem"/>
        <w:numPr>
          <w:ilvl w:val="0"/>
          <w:numId w:val="5"/>
        </w:numPr>
        <w:spacing w:after="320"/>
      </w:pPr>
      <w:r>
        <w:rPr>
          <w:color w:val="000000"/>
        </w:rPr>
        <w:lastRenderedPageBreak/>
        <w:t xml:space="preserve">If a LabPro interface is being used, allow a few seconds at both the beginning and ending of the 15 second data-collection period without moving the analyzer. Typically, a warning “Waiting for data…” will appear when data collection has been initiated; wait until this message has disappeared before rotating the analyzer. It may be helpful to extend the data collection time to ensure students do not continue to rotate the analyzer after data collection has ended. </w:t>
      </w:r>
    </w:p>
    <w:p w:rsidR="003E1CEB" w:rsidRDefault="00A76808">
      <w:pPr>
        <w:pStyle w:val="p1"/>
      </w:pPr>
      <w:r>
        <w:rPr>
          <w:color w:val="000000"/>
        </w:rPr>
        <w:t>LabPro users have these extended instructions because the rotary motion sensor that tells Logger </w:t>
      </w:r>
      <w:r>
        <w:rPr>
          <w:rStyle w:val="i"/>
        </w:rPr>
        <w:t>Pro</w:t>
      </w:r>
      <w:r>
        <w:rPr>
          <w:color w:val="000000"/>
        </w:rPr>
        <w:t xml:space="preserve"> what angle the analyzer is sitting on does not continuously collect data on the LabPro like it does on the LabQuest and LabQuest Mini interfaces. </w:t>
      </w:r>
    </w:p>
    <w:p w:rsidR="003E1CEB" w:rsidRDefault="00A76808">
      <w:pPr>
        <w:pStyle w:val="h2HeadingPrime"/>
      </w:pPr>
      <w:r>
        <w:t>HAZARD ALERTS</w:t>
      </w:r>
    </w:p>
    <w:p w:rsidR="003E1CEB" w:rsidRDefault="00A76808">
      <w:pPr>
        <w:pStyle w:val="p"/>
      </w:pPr>
      <w:r>
        <w:rPr>
          <w:color w:val="000000"/>
        </w:rPr>
        <w:t>The chemical safety signal words used in this experiment (DANGER and WARNING) are part of the Globally Harmonized System of Classification and labeling of Chemicals (GHS). Refer to the Safety Data Sheet (SDS) that came with the chemical for proper handling, storage, and disposal information. These can also be found online from the manufacturer. See Appendix C for more information.</w:t>
      </w:r>
    </w:p>
    <w:p w:rsidR="003E1CEB" w:rsidRDefault="00A76808">
      <w:pPr>
        <w:pStyle w:val="p"/>
      </w:pPr>
      <w:r>
        <w:rPr>
          <w:color w:val="000000"/>
        </w:rPr>
        <w:t xml:space="preserve">Hydrochloric acid, 12 M, HCl: </w:t>
      </w:r>
      <w:r>
        <w:rPr>
          <w:rStyle w:val="b"/>
        </w:rPr>
        <w:t>DANGER</w:t>
      </w:r>
      <w:r>
        <w:rPr>
          <w:color w:val="000000"/>
        </w:rPr>
        <w:t>: Causes severe skin and eye burns and damage. Harmful if swallowed or inhaled. Do not eat or drink when using this product. Do not breathe mist, vapors, or spray. May be corrosive to metals. Industrial exposure to vapors and mists is listed as a known human carcinogen by International Agency for Research on Cancer (IARC).</w:t>
      </w:r>
    </w:p>
    <w:p w:rsidR="003E1CEB" w:rsidRDefault="00A76808">
      <w:pPr>
        <w:pStyle w:val="p"/>
      </w:pPr>
      <w:r>
        <w:rPr>
          <w:color w:val="000000"/>
        </w:rPr>
        <w:t>Iinvertase, enzyme: This chemical is considered nonhazardous according to GHS classifications. Treat all laboratory chemicals with caution. Prudent laboratory practices should be observed.</w:t>
      </w:r>
    </w:p>
    <w:p w:rsidR="003E1CEB" w:rsidRDefault="00A76808">
      <w:pPr>
        <w:pStyle w:val="p"/>
      </w:pPr>
      <w:r>
        <w:rPr>
          <w:color w:val="000000"/>
        </w:rPr>
        <w:t>Sucrose, C</w:t>
      </w:r>
      <w:r>
        <w:rPr>
          <w:rStyle w:val="sub"/>
        </w:rPr>
        <w:t>12</w:t>
      </w:r>
      <w:r>
        <w:rPr>
          <w:color w:val="000000"/>
        </w:rPr>
        <w:t>H</w:t>
      </w:r>
      <w:r>
        <w:rPr>
          <w:rStyle w:val="sub"/>
        </w:rPr>
        <w:t>22</w:t>
      </w:r>
      <w:r>
        <w:rPr>
          <w:color w:val="000000"/>
        </w:rPr>
        <w:t>O</w:t>
      </w:r>
      <w:r>
        <w:rPr>
          <w:rStyle w:val="sub"/>
        </w:rPr>
        <w:t>11</w:t>
      </w:r>
      <w:r>
        <w:rPr>
          <w:color w:val="000000"/>
        </w:rPr>
        <w:t>: This chemical is considered nonhazardous according to GHS classifications. Treat all laboratory chemicals with caution. Prudent laboratory practices should be observed</w:t>
      </w:r>
    </w:p>
    <w:p w:rsidR="003E1CEB" w:rsidRDefault="00A76808">
      <w:pPr>
        <w:pStyle w:val="h2HeadingPrime"/>
      </w:pPr>
      <w:r>
        <w:t>COMPOUND INFORMATION</w:t>
      </w:r>
    </w:p>
    <w:tbl>
      <w:tblPr>
        <w:tblW w:w="9375" w:type="dxa"/>
        <w:tblInd w:w="36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1875"/>
        <w:gridCol w:w="1875"/>
        <w:gridCol w:w="1875"/>
        <w:gridCol w:w="1875"/>
        <w:gridCol w:w="1875"/>
      </w:tblGrid>
      <w:tr w:rsidR="003E1CEB">
        <w:tc>
          <w:tcPr>
            <w:tcW w:w="1875"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Compound</w:t>
            </w:r>
          </w:p>
        </w:tc>
        <w:tc>
          <w:tcPr>
            <w:tcW w:w="1875"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Chemical formula</w:t>
            </w:r>
          </w:p>
        </w:tc>
        <w:tc>
          <w:tcPr>
            <w:tcW w:w="1875"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Molar mass (g/moL)</w:t>
            </w:r>
          </w:p>
        </w:tc>
        <w:tc>
          <w:tcPr>
            <w:tcW w:w="1875"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 xml:space="preserve">Specific rotation </w:t>
            </w:r>
            <w:r>
              <w:br/>
            </w:r>
            <w:r>
              <w:rPr>
                <w:color w:val="000000"/>
              </w:rPr>
              <w:t>(°)</w:t>
            </w:r>
          </w:p>
        </w:tc>
        <w:tc>
          <w:tcPr>
            <w:tcW w:w="1875"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 xml:space="preserve">Melting point </w:t>
            </w:r>
            <w:r>
              <w:br/>
            </w:r>
            <w:r>
              <w:rPr>
                <w:color w:val="000000"/>
              </w:rPr>
              <w:t>(°C)</w:t>
            </w:r>
          </w:p>
        </w:tc>
      </w:tr>
      <w:tr w:rsidR="003E1CEB">
        <w:tc>
          <w:tcPr>
            <w:tcW w:w="1875"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sucrose</w:t>
            </w:r>
          </w:p>
        </w:tc>
        <w:tc>
          <w:tcPr>
            <w:tcW w:w="1875"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C</w:t>
            </w:r>
            <w:r>
              <w:rPr>
                <w:rStyle w:val="sub1"/>
              </w:rPr>
              <w:t>12</w:t>
            </w:r>
            <w:r>
              <w:rPr>
                <w:color w:val="000000"/>
              </w:rPr>
              <w:t>H</w:t>
            </w:r>
            <w:r>
              <w:rPr>
                <w:rStyle w:val="sub1"/>
              </w:rPr>
              <w:t>22</w:t>
            </w:r>
            <w:r>
              <w:rPr>
                <w:color w:val="000000"/>
              </w:rPr>
              <w:t>O</w:t>
            </w:r>
            <w:r>
              <w:rPr>
                <w:rStyle w:val="sub1"/>
              </w:rPr>
              <w:t>11</w:t>
            </w:r>
          </w:p>
        </w:tc>
        <w:tc>
          <w:tcPr>
            <w:tcW w:w="1875"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342.3</w:t>
            </w:r>
          </w:p>
        </w:tc>
        <w:tc>
          <w:tcPr>
            <w:tcW w:w="1875"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+66.5</w:t>
            </w:r>
          </w:p>
        </w:tc>
        <w:tc>
          <w:tcPr>
            <w:tcW w:w="1875" w:type="dxa"/>
            <w:tcMar>
              <w:top w:w="75" w:type="dxa"/>
              <w:left w:w="75" w:type="dxa"/>
              <w:bottom w:w="75" w:type="dxa"/>
              <w:right w:w="75" w:type="dxa"/>
            </w:tcMar>
            <w:vAlign w:val="center"/>
          </w:tcPr>
          <w:p w:rsidR="003E1CEB" w:rsidRDefault="00A76808" w:rsidP="00F749E4">
            <w:pPr>
              <w:pStyle w:val="p2"/>
              <w:spacing w:after="120"/>
              <w:jc w:val="center"/>
            </w:pPr>
            <w:r>
              <w:rPr>
                <w:color w:val="000000"/>
              </w:rPr>
              <w:t>186</w:t>
            </w:r>
          </w:p>
        </w:tc>
      </w:tr>
    </w:tbl>
    <w:p w:rsidR="003E1CEB" w:rsidRDefault="00A76808">
      <w:pPr>
        <w:pStyle w:val="h2HeadingPrime"/>
        <w:pageBreakBefore/>
      </w:pPr>
      <w:r>
        <w:lastRenderedPageBreak/>
        <w:t>Sample Data</w:t>
      </w:r>
    </w:p>
    <w:p w:rsidR="003E1CEB" w:rsidRDefault="00A76808">
      <w:pPr>
        <w:pStyle w:val="h3SubHead1st"/>
      </w:pPr>
      <w:r>
        <w:rPr>
          <w:color w:val="000000"/>
        </w:rPr>
        <w:t>Part I  Specific Rotation of Sucrose</w:t>
      </w:r>
    </w:p>
    <w:p w:rsidR="003E1CEB" w:rsidRDefault="00A76808">
      <w:pPr>
        <w:pStyle w:val="h3SubHead2nd"/>
      </w:pPr>
      <w:r>
        <w:rPr>
          <w:color w:val="000000"/>
        </w:rPr>
        <w:t>15% Sucrose Sample</w:t>
      </w:r>
    </w:p>
    <w:p w:rsidR="003E1CEB" w:rsidRDefault="00A76808">
      <w:pPr>
        <w:pStyle w:val="p"/>
      </w:pPr>
      <w:r>
        <w:rPr>
          <w:rStyle w:val="variable4"/>
        </w:rPr>
        <w:t>Angle</w:t>
      </w:r>
      <w:r>
        <w:rPr>
          <w:rStyle w:val="sub2"/>
        </w:rPr>
        <w:t>blank</w:t>
      </w:r>
      <w:r>
        <w:rPr>
          <w:rStyle w:val="variable4"/>
        </w:rPr>
        <w:t xml:space="preserve"> (°) = 12.5</w:t>
      </w:r>
    </w:p>
    <w:tbl>
      <w:tblPr>
        <w:tblW w:w="9000" w:type="dxa"/>
        <w:tblInd w:w="36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3000"/>
        <w:gridCol w:w="1500"/>
        <w:gridCol w:w="1500"/>
        <w:gridCol w:w="1500"/>
        <w:gridCol w:w="1500"/>
      </w:tblGrid>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1</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2</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3</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Average</w:t>
            </w:r>
          </w:p>
        </w:tc>
      </w:tr>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Sample height (cm)</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9.0</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9.2</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9.2</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9.1</w:t>
            </w:r>
          </w:p>
        </w:tc>
      </w:tr>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Angle</w:t>
            </w:r>
            <w:r>
              <w:rPr>
                <w:rStyle w:val="sub1"/>
              </w:rPr>
              <w:t>sample</w:t>
            </w:r>
            <w:r>
              <w:rPr>
                <w:color w:val="000000"/>
              </w:rPr>
              <w:t xml:space="preserve"> (°)</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20.9</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20.8</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21.0</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20.9</w:t>
            </w:r>
          </w:p>
        </w:tc>
      </w:tr>
      <w:tr w:rsidR="003E1CEB">
        <w:tc>
          <w:tcPr>
            <w:tcW w:w="3000" w:type="dxa"/>
            <w:tcBorders>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Angle of rotation, α (°)</w:t>
            </w:r>
            <w:r>
              <w:br/>
            </w:r>
            <w:r>
              <w:rPr>
                <w:color w:val="000000"/>
              </w:rPr>
              <w:t>= Angle</w:t>
            </w:r>
            <w:r>
              <w:rPr>
                <w:rStyle w:val="sub1"/>
              </w:rPr>
              <w:t>sample</w:t>
            </w:r>
            <w:r>
              <w:rPr>
                <w:color w:val="000000"/>
              </w:rPr>
              <w:t xml:space="preserve"> – Angle</w:t>
            </w:r>
            <w:r>
              <w:rPr>
                <w:rStyle w:val="sub1"/>
              </w:rPr>
              <w:t>blank</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8.4</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8.3</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8.5</w:t>
            </w:r>
          </w:p>
        </w:tc>
        <w:tc>
          <w:tcPr>
            <w:tcW w:w="1500" w:type="dxa"/>
            <w:tcMar>
              <w:top w:w="75" w:type="dxa"/>
              <w:left w:w="75" w:type="dxa"/>
              <w:bottom w:w="75" w:type="dxa"/>
              <w:right w:w="75" w:type="dxa"/>
            </w:tcMar>
            <w:vAlign w:val="center"/>
          </w:tcPr>
          <w:p w:rsidR="003E1CEB" w:rsidRDefault="00A76808" w:rsidP="00F749E4">
            <w:pPr>
              <w:pStyle w:val="p2"/>
              <w:spacing w:after="120"/>
              <w:jc w:val="center"/>
            </w:pPr>
            <w:r>
              <w:rPr>
                <w:color w:val="000000"/>
              </w:rPr>
              <w:t>8.4</w:t>
            </w:r>
          </w:p>
        </w:tc>
      </w:tr>
    </w:tbl>
    <w:p w:rsidR="003E1CEB" w:rsidRDefault="00A76808">
      <w:pPr>
        <w:pStyle w:val="h3SubHead2nd"/>
      </w:pPr>
      <w:r>
        <w:rPr>
          <w:color w:val="000000"/>
        </w:rPr>
        <w:t>30% Sucrose Sample</w:t>
      </w:r>
    </w:p>
    <w:p w:rsidR="003E1CEB" w:rsidRDefault="00A76808">
      <w:pPr>
        <w:pStyle w:val="p"/>
      </w:pPr>
      <w:r>
        <w:rPr>
          <w:rStyle w:val="variable4"/>
        </w:rPr>
        <w:t>Angle</w:t>
      </w:r>
      <w:r>
        <w:rPr>
          <w:rStyle w:val="sub2"/>
        </w:rPr>
        <w:t>blank</w:t>
      </w:r>
      <w:r>
        <w:rPr>
          <w:rStyle w:val="variable4"/>
        </w:rPr>
        <w:t xml:space="preserve"> (°) = 12.5</w:t>
      </w:r>
    </w:p>
    <w:tbl>
      <w:tblPr>
        <w:tblW w:w="9000" w:type="dxa"/>
        <w:tblInd w:w="36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3000"/>
        <w:gridCol w:w="1500"/>
        <w:gridCol w:w="1500"/>
        <w:gridCol w:w="1500"/>
        <w:gridCol w:w="1500"/>
      </w:tblGrid>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1</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2</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Run 3</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0"/>
              <w:jc w:val="center"/>
            </w:pPr>
            <w:r>
              <w:rPr>
                <w:color w:val="000000"/>
              </w:rPr>
              <w:t>Average</w:t>
            </w:r>
          </w:p>
        </w:tc>
      </w:tr>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Sample height (cm)</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10.1</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10.0</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9.9</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10.0</w:t>
            </w:r>
          </w:p>
        </w:tc>
      </w:tr>
      <w:tr w:rsidR="003E1CEB">
        <w:tc>
          <w:tcPr>
            <w:tcW w:w="3000" w:type="dxa"/>
            <w:tcBorders>
              <w:bottom w:val="single" w:sz="4" w:space="0" w:color="000000"/>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Angle</w:t>
            </w:r>
            <w:r>
              <w:rPr>
                <w:rStyle w:val="sub1"/>
              </w:rPr>
              <w:t>sample</w:t>
            </w:r>
            <w:r>
              <w:rPr>
                <w:color w:val="000000"/>
              </w:rPr>
              <w:t xml:space="preserve"> (°)</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31.6</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31.9</w:t>
            </w:r>
          </w:p>
        </w:tc>
        <w:tc>
          <w:tcPr>
            <w:tcW w:w="1500" w:type="dxa"/>
            <w:tcBorders>
              <w:bottom w:val="single" w:sz="4" w:space="0" w:color="000000"/>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31.7</w:t>
            </w:r>
          </w:p>
        </w:tc>
        <w:tc>
          <w:tcPr>
            <w:tcW w:w="1500" w:type="dxa"/>
            <w:tcBorders>
              <w:bottom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31.7</w:t>
            </w:r>
          </w:p>
        </w:tc>
      </w:tr>
      <w:tr w:rsidR="003E1CEB">
        <w:tc>
          <w:tcPr>
            <w:tcW w:w="3000" w:type="dxa"/>
            <w:tcBorders>
              <w:right w:val="single" w:sz="4" w:space="0" w:color="000000"/>
            </w:tcBorders>
            <w:tcMar>
              <w:top w:w="75" w:type="dxa"/>
              <w:left w:w="75" w:type="dxa"/>
              <w:bottom w:w="75" w:type="dxa"/>
              <w:right w:w="75" w:type="dxa"/>
            </w:tcMar>
          </w:tcPr>
          <w:p w:rsidR="003E1CEB" w:rsidRDefault="00A76808" w:rsidP="00F749E4">
            <w:pPr>
              <w:pStyle w:val="p2"/>
              <w:spacing w:after="120"/>
            </w:pPr>
            <w:r>
              <w:rPr>
                <w:color w:val="000000"/>
              </w:rPr>
              <w:t>Angle of rotation, α (°)</w:t>
            </w:r>
            <w:r>
              <w:br/>
            </w:r>
            <w:r>
              <w:rPr>
                <w:color w:val="000000"/>
              </w:rPr>
              <w:t>= Angle</w:t>
            </w:r>
            <w:r>
              <w:rPr>
                <w:rStyle w:val="sub1"/>
              </w:rPr>
              <w:t>sample</w:t>
            </w:r>
            <w:r>
              <w:rPr>
                <w:color w:val="000000"/>
              </w:rPr>
              <w:t xml:space="preserve"> – Angle</w:t>
            </w:r>
            <w:r>
              <w:rPr>
                <w:rStyle w:val="sub1"/>
              </w:rPr>
              <w:t>blank</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19.1</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19.4</w:t>
            </w:r>
          </w:p>
        </w:tc>
        <w:tc>
          <w:tcPr>
            <w:tcW w:w="1500" w:type="dxa"/>
            <w:tcBorders>
              <w:right w:val="single" w:sz="4" w:space="0" w:color="000000"/>
            </w:tcBorders>
            <w:tcMar>
              <w:top w:w="75" w:type="dxa"/>
              <w:left w:w="75" w:type="dxa"/>
              <w:bottom w:w="75" w:type="dxa"/>
              <w:right w:w="75" w:type="dxa"/>
            </w:tcMar>
            <w:vAlign w:val="center"/>
          </w:tcPr>
          <w:p w:rsidR="003E1CEB" w:rsidRDefault="00A76808" w:rsidP="00F749E4">
            <w:pPr>
              <w:pStyle w:val="p2"/>
              <w:spacing w:after="120"/>
              <w:jc w:val="center"/>
            </w:pPr>
            <w:r>
              <w:rPr>
                <w:color w:val="000000"/>
              </w:rPr>
              <w:t>19.2</w:t>
            </w:r>
          </w:p>
        </w:tc>
        <w:tc>
          <w:tcPr>
            <w:tcW w:w="1500" w:type="dxa"/>
            <w:tcMar>
              <w:top w:w="75" w:type="dxa"/>
              <w:left w:w="75" w:type="dxa"/>
              <w:bottom w:w="75" w:type="dxa"/>
              <w:right w:w="75" w:type="dxa"/>
            </w:tcMar>
            <w:vAlign w:val="center"/>
          </w:tcPr>
          <w:p w:rsidR="003E1CEB" w:rsidRDefault="00A76808" w:rsidP="00F749E4">
            <w:pPr>
              <w:pStyle w:val="p2"/>
              <w:spacing w:after="120"/>
              <w:jc w:val="center"/>
            </w:pPr>
            <w:r>
              <w:rPr>
                <w:color w:val="000000"/>
              </w:rPr>
              <w:t>19.2</w:t>
            </w:r>
          </w:p>
        </w:tc>
      </w:tr>
    </w:tbl>
    <w:p w:rsidR="003E1CEB" w:rsidRDefault="00A76808">
      <w:pPr>
        <w:pStyle w:val="h2HeadingPrime"/>
      </w:pPr>
      <w:r>
        <w:t>ANSWERS TO THE DATA ANALYSIS QUESTIONS</w:t>
      </w:r>
    </w:p>
    <w:p w:rsidR="003E1CEB" w:rsidRDefault="00A76808">
      <w:pPr>
        <w:pStyle w:val="h3SubHead1st"/>
      </w:pPr>
      <w:r>
        <w:rPr>
          <w:color w:val="000000"/>
        </w:rPr>
        <w:t xml:space="preserve">Part I Specific Rotation of Sucrose </w:t>
      </w:r>
    </w:p>
    <w:p w:rsidR="003E1CEB" w:rsidRDefault="00A76808">
      <w:pPr>
        <w:pStyle w:val="li"/>
        <w:numPr>
          <w:ilvl w:val="0"/>
          <w:numId w:val="6"/>
        </w:numPr>
      </w:pPr>
      <w:r>
        <w:rPr>
          <w:color w:val="000000"/>
        </w:rPr>
        <w:t> </w:t>
      </w:r>
    </w:p>
    <w:p w:rsidR="003E1CEB" w:rsidRDefault="005F698B">
      <w:pPr>
        <w:pStyle w:val="pVSGraphic"/>
        <w:spacing w:after="320"/>
      </w:pPr>
      <w:r>
        <w:rPr>
          <w:noProof/>
        </w:rPr>
        <w:drawing>
          <wp:inline distT="0" distB="0" distL="0" distR="0">
            <wp:extent cx="19050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3E1CEB" w:rsidRDefault="00A76808">
      <w:pPr>
        <w:pStyle w:val="li"/>
        <w:numPr>
          <w:ilvl w:val="0"/>
          <w:numId w:val="7"/>
        </w:numPr>
      </w:pPr>
      <w:r>
        <w:rPr>
          <w:color w:val="000000"/>
        </w:rPr>
        <w:t> </w:t>
      </w:r>
    </w:p>
    <w:p w:rsidR="003E1CEB" w:rsidRDefault="005F698B">
      <w:pPr>
        <w:pStyle w:val="pVSGraphic"/>
        <w:spacing w:after="320"/>
      </w:pPr>
      <w:r>
        <w:rPr>
          <w:noProof/>
        </w:rPr>
        <w:drawing>
          <wp:inline distT="0" distB="0" distL="0" distR="0">
            <wp:extent cx="178117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81175" cy="342900"/>
                    </a:xfrm>
                    <a:prstGeom prst="rect">
                      <a:avLst/>
                    </a:prstGeom>
                    <a:noFill/>
                    <a:ln w="9525">
                      <a:noFill/>
                      <a:miter lim="800000"/>
                      <a:headEnd/>
                      <a:tailEnd/>
                    </a:ln>
                  </pic:spPr>
                </pic:pic>
              </a:graphicData>
            </a:graphic>
          </wp:inline>
        </w:drawing>
      </w:r>
    </w:p>
    <w:p w:rsidR="003E1CEB" w:rsidRDefault="00A76808">
      <w:pPr>
        <w:pStyle w:val="li"/>
        <w:numPr>
          <w:ilvl w:val="0"/>
          <w:numId w:val="8"/>
        </w:numPr>
      </w:pPr>
      <w:r>
        <w:rPr>
          <w:color w:val="000000"/>
        </w:rPr>
        <w:t> </w:t>
      </w:r>
    </w:p>
    <w:p w:rsidR="003E1CEB" w:rsidRDefault="005F698B">
      <w:pPr>
        <w:pStyle w:val="pVSGraphic"/>
      </w:pPr>
      <w:r>
        <w:rPr>
          <w:noProof/>
        </w:rPr>
        <w:drawing>
          <wp:inline distT="0" distB="0" distL="0" distR="0">
            <wp:extent cx="1981200" cy="314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981200" cy="314325"/>
                    </a:xfrm>
                    <a:prstGeom prst="rect">
                      <a:avLst/>
                    </a:prstGeom>
                    <a:noFill/>
                    <a:ln w="9525">
                      <a:noFill/>
                      <a:miter lim="800000"/>
                      <a:headEnd/>
                      <a:tailEnd/>
                    </a:ln>
                  </pic:spPr>
                </pic:pic>
              </a:graphicData>
            </a:graphic>
          </wp:inline>
        </w:drawing>
      </w:r>
    </w:p>
    <w:p w:rsidR="003E1CEB" w:rsidRDefault="005F698B">
      <w:pPr>
        <w:pStyle w:val="pVSGraphic"/>
        <w:spacing w:after="320"/>
      </w:pPr>
      <w:r>
        <w:rPr>
          <w:noProof/>
        </w:rPr>
        <w:drawing>
          <wp:inline distT="0" distB="0" distL="0" distR="0">
            <wp:extent cx="1981200" cy="314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981200" cy="314325"/>
                    </a:xfrm>
                    <a:prstGeom prst="rect">
                      <a:avLst/>
                    </a:prstGeom>
                    <a:noFill/>
                    <a:ln w="9525">
                      <a:noFill/>
                      <a:miter lim="800000"/>
                      <a:headEnd/>
                      <a:tailEnd/>
                    </a:ln>
                  </pic:spPr>
                </pic:pic>
              </a:graphicData>
            </a:graphic>
          </wp:inline>
        </w:drawing>
      </w:r>
    </w:p>
    <w:p w:rsidR="003E1CEB" w:rsidRDefault="00A76808">
      <w:pPr>
        <w:pStyle w:val="h3SubHead1st"/>
      </w:pPr>
      <w:r>
        <w:rPr>
          <w:color w:val="000000"/>
        </w:rPr>
        <w:lastRenderedPageBreak/>
        <w:t>Part II  Kinetics of Sucrose with Acid</w:t>
      </w:r>
    </w:p>
    <w:p w:rsidR="003E1CEB" w:rsidRDefault="00A76808">
      <w:pPr>
        <w:pStyle w:val="linumberedItem"/>
        <w:numPr>
          <w:ilvl w:val="0"/>
          <w:numId w:val="9"/>
        </w:numPr>
      </w:pPr>
      <w:r>
        <w:rPr>
          <w:color w:val="000000"/>
        </w:rPr>
        <w:t>It is a first order reaction based on the nonlinear fit to a single exponential decay.</w:t>
      </w:r>
    </w:p>
    <w:p w:rsidR="003E1CEB" w:rsidRDefault="00A76808">
      <w:pPr>
        <w:pStyle w:val="linumberedItem"/>
        <w:numPr>
          <w:ilvl w:val="0"/>
          <w:numId w:val="9"/>
        </w:numPr>
        <w:spacing w:after="320"/>
      </w:pPr>
      <w:r>
        <w:rPr>
          <w:color w:val="000000"/>
        </w:rPr>
        <w:t>Using a single exponential fit, the rate constant is 0.0749 min</w:t>
      </w:r>
      <w:r>
        <w:rPr>
          <w:rStyle w:val="sup"/>
        </w:rPr>
        <w:t>–1</w:t>
      </w:r>
      <w:r>
        <w:rPr>
          <w:color w:val="000000"/>
        </w:rPr>
        <w:t xml:space="preserve"> or 0.00124 s</w:t>
      </w:r>
      <w:r>
        <w:rPr>
          <w:rStyle w:val="sup"/>
        </w:rPr>
        <w:t>–1</w:t>
      </w:r>
      <w:r>
        <w:rPr>
          <w:color w:val="000000"/>
        </w:rPr>
        <w:t xml:space="preserve">. </w:t>
      </w:r>
    </w:p>
    <w:p w:rsidR="003E1CEB" w:rsidRDefault="00A76808">
      <w:pPr>
        <w:pStyle w:val="h3SubHead1st"/>
      </w:pPr>
      <w:r>
        <w:rPr>
          <w:color w:val="000000"/>
        </w:rPr>
        <w:t>Part III  Kinetics of Sucrose with Invertase Enzyme</w:t>
      </w:r>
    </w:p>
    <w:p w:rsidR="003E1CEB" w:rsidRDefault="00A76808">
      <w:pPr>
        <w:pStyle w:val="linumberedItem"/>
        <w:numPr>
          <w:ilvl w:val="0"/>
          <w:numId w:val="10"/>
        </w:numPr>
      </w:pPr>
      <w:r>
        <w:rPr>
          <w:color w:val="000000"/>
        </w:rPr>
        <w:t>It is a first order reaction based on the nonlinear fit to a single exponential decay.</w:t>
      </w:r>
    </w:p>
    <w:p w:rsidR="003E1CEB" w:rsidRDefault="00A76808">
      <w:pPr>
        <w:pStyle w:val="linumberedItem"/>
        <w:numPr>
          <w:ilvl w:val="0"/>
          <w:numId w:val="10"/>
        </w:numPr>
        <w:spacing w:after="320"/>
      </w:pPr>
      <w:r>
        <w:rPr>
          <w:color w:val="000000"/>
        </w:rPr>
        <w:t>Using a single exponential fit, the rate constant is 4.53 hr</w:t>
      </w:r>
      <w:r>
        <w:rPr>
          <w:rStyle w:val="sup"/>
        </w:rPr>
        <w:t>–1</w:t>
      </w:r>
      <w:r>
        <w:rPr>
          <w:color w:val="000000"/>
        </w:rPr>
        <w:t xml:space="preserve"> = 0.0756 min</w:t>
      </w:r>
      <w:r>
        <w:rPr>
          <w:rStyle w:val="sup"/>
        </w:rPr>
        <w:t>–1</w:t>
      </w:r>
      <w:r>
        <w:rPr>
          <w:color w:val="000000"/>
        </w:rPr>
        <w:t>.</w:t>
      </w:r>
    </w:p>
    <w:p w:rsidR="003E1CEB" w:rsidRDefault="00A76808">
      <w:pPr>
        <w:pStyle w:val="h2HeadingPrime"/>
      </w:pPr>
      <w:r>
        <w:t>Sample graphs</w:t>
      </w:r>
    </w:p>
    <w:p w:rsidR="003E1CEB" w:rsidRDefault="00A76808">
      <w:pPr>
        <w:pStyle w:val="h3SubHead1st"/>
      </w:pPr>
      <w:r>
        <w:rPr>
          <w:color w:val="000000"/>
        </w:rPr>
        <w:t>Part II  Kinetics of Sucrose with Acid</w:t>
      </w:r>
    </w:p>
    <w:p w:rsidR="003E1CEB" w:rsidRDefault="005F698B">
      <w:pPr>
        <w:pStyle w:val="p"/>
        <w:jc w:val="center"/>
      </w:pPr>
      <w:r>
        <w:rPr>
          <w:noProof/>
        </w:rPr>
        <w:drawing>
          <wp:inline distT="0" distB="0" distL="0" distR="0">
            <wp:extent cx="3333750" cy="2085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333750" cy="2085975"/>
                    </a:xfrm>
                    <a:prstGeom prst="rect">
                      <a:avLst/>
                    </a:prstGeom>
                    <a:noFill/>
                    <a:ln w="9525">
                      <a:noFill/>
                      <a:miter lim="800000"/>
                      <a:headEnd/>
                      <a:tailEnd/>
                    </a:ln>
                  </pic:spPr>
                </pic:pic>
              </a:graphicData>
            </a:graphic>
          </wp:inline>
        </w:drawing>
      </w:r>
    </w:p>
    <w:p w:rsidR="003E1CEB" w:rsidRDefault="00A76808">
      <w:pPr>
        <w:pStyle w:val="pGraphiclbl"/>
      </w:pPr>
      <w:r>
        <w:rPr>
          <w:color w:val="000000"/>
        </w:rPr>
        <w:t>Figure 2  Raw data runs for reaction of sucrose and HCl</w:t>
      </w:r>
      <w:r>
        <w:br/>
      </w:r>
    </w:p>
    <w:p w:rsidR="003E1CEB" w:rsidRDefault="005F698B">
      <w:pPr>
        <w:pStyle w:val="pVSGraphiclbl"/>
        <w:jc w:val="center"/>
      </w:pPr>
      <w:r>
        <w:rPr>
          <w:noProof/>
        </w:rPr>
        <w:drawing>
          <wp:inline distT="0" distB="0" distL="0" distR="0">
            <wp:extent cx="3333750" cy="2085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333750" cy="2085975"/>
                    </a:xfrm>
                    <a:prstGeom prst="rect">
                      <a:avLst/>
                    </a:prstGeom>
                    <a:noFill/>
                    <a:ln w="9525">
                      <a:noFill/>
                      <a:miter lim="800000"/>
                      <a:headEnd/>
                      <a:tailEnd/>
                    </a:ln>
                  </pic:spPr>
                </pic:pic>
              </a:graphicData>
            </a:graphic>
          </wp:inline>
        </w:drawing>
      </w:r>
    </w:p>
    <w:p w:rsidR="003E1CEB" w:rsidRDefault="00A76808">
      <w:pPr>
        <w:pStyle w:val="pGraphiclbl"/>
      </w:pPr>
      <w:r>
        <w:rPr>
          <w:color w:val="000000"/>
        </w:rPr>
        <w:t>Figure 3  Kinetic trace and single exponential fit for reaction of sucrose and HCl</w:t>
      </w:r>
      <w:r>
        <w:br/>
      </w:r>
    </w:p>
    <w:p w:rsidR="003E1CEB" w:rsidRDefault="00A76808">
      <w:pPr>
        <w:pStyle w:val="h3SubHead1st"/>
      </w:pPr>
      <w:r>
        <w:rPr>
          <w:color w:val="000000"/>
        </w:rPr>
        <w:lastRenderedPageBreak/>
        <w:t>Part III  Kinetics of Sucrose with Invertase Enzyme</w:t>
      </w:r>
    </w:p>
    <w:p w:rsidR="003E1CEB" w:rsidRDefault="005F698B">
      <w:pPr>
        <w:pStyle w:val="pVSGraphiclbl"/>
        <w:jc w:val="center"/>
      </w:pPr>
      <w:r>
        <w:rPr>
          <w:noProof/>
        </w:rPr>
        <w:drawing>
          <wp:inline distT="0" distB="0" distL="0" distR="0">
            <wp:extent cx="3333750" cy="2095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333750" cy="2095500"/>
                    </a:xfrm>
                    <a:prstGeom prst="rect">
                      <a:avLst/>
                    </a:prstGeom>
                    <a:noFill/>
                    <a:ln w="9525">
                      <a:noFill/>
                      <a:miter lim="800000"/>
                      <a:headEnd/>
                      <a:tailEnd/>
                    </a:ln>
                  </pic:spPr>
                </pic:pic>
              </a:graphicData>
            </a:graphic>
          </wp:inline>
        </w:drawing>
      </w:r>
    </w:p>
    <w:p w:rsidR="003E1CEB" w:rsidRDefault="00A76808">
      <w:pPr>
        <w:pStyle w:val="pGraphiclbl"/>
      </w:pPr>
      <w:r>
        <w:rPr>
          <w:color w:val="000000"/>
        </w:rPr>
        <w:t>Figure 4  Raw data runs for reaction of sucrose and invertase</w:t>
      </w:r>
      <w:r>
        <w:br/>
      </w:r>
    </w:p>
    <w:p w:rsidR="003E1CEB" w:rsidRDefault="005F698B">
      <w:pPr>
        <w:pStyle w:val="p"/>
        <w:jc w:val="center"/>
      </w:pPr>
      <w:r>
        <w:rPr>
          <w:noProof/>
        </w:rPr>
        <w:drawing>
          <wp:inline distT="0" distB="0" distL="0" distR="0">
            <wp:extent cx="3333750" cy="2095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333750" cy="2095500"/>
                    </a:xfrm>
                    <a:prstGeom prst="rect">
                      <a:avLst/>
                    </a:prstGeom>
                    <a:noFill/>
                    <a:ln w="9525">
                      <a:noFill/>
                      <a:miter lim="800000"/>
                      <a:headEnd/>
                      <a:tailEnd/>
                    </a:ln>
                  </pic:spPr>
                </pic:pic>
              </a:graphicData>
            </a:graphic>
          </wp:inline>
        </w:drawing>
      </w:r>
    </w:p>
    <w:p w:rsidR="003E1CEB" w:rsidRDefault="00A76808">
      <w:pPr>
        <w:pStyle w:val="pGraphiclbl"/>
      </w:pPr>
      <w:r>
        <w:rPr>
          <w:color w:val="000000"/>
        </w:rPr>
        <w:t>Figure 5  Kinetic trace and single exponential fit for reaction of sucrose and invertase</w:t>
      </w:r>
    </w:p>
    <w:sectPr w:rsidR="003E1CEB" w:rsidSect="003E1CEB">
      <w:headerReference w:type="even" r:id="rId18"/>
      <w:headerReference w:type="default" r:id="rId19"/>
      <w:footerReference w:type="even" r:id="rId20"/>
      <w:footerReference w:type="default" r:id="rId21"/>
      <w:headerReference w:type="first" r:id="rId22"/>
      <w:footerReference w:type="first" r:id="rId23"/>
      <w:pgSz w:w="12240" w:h="15840"/>
      <w:pgMar w:top="930" w:right="1290" w:bottom="1395" w:left="1590" w:header="315" w:footer="6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89" w:rsidRDefault="00336889" w:rsidP="003E1CEB">
      <w:r>
        <w:separator/>
      </w:r>
    </w:p>
  </w:endnote>
  <w:endnote w:type="continuationSeparator" w:id="0">
    <w:p w:rsidR="00336889" w:rsidRDefault="00336889" w:rsidP="003E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faul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755"/>
      <w:gridCol w:w="8625"/>
    </w:tblGrid>
    <w:tr w:rsidR="003E1CEB">
      <w:tc>
        <w:tcPr>
          <w:tcW w:w="746" w:type="dxa"/>
        </w:tcPr>
        <w:p w:rsidR="003E1CEB" w:rsidRDefault="001E4A0D">
          <w:pPr>
            <w:pStyle w:val="td1"/>
          </w:pPr>
          <w:r>
            <w:rPr>
              <w:rStyle w:val="variable"/>
            </w:rPr>
            <w:fldChar w:fldCharType="begin"/>
          </w:r>
          <w:r w:rsidR="00A76808">
            <w:rPr>
              <w:rStyle w:val="variable"/>
            </w:rPr>
            <w:instrText xml:space="preserve"> PAGE \* Arabic  \* MERGEFORMAT </w:instrText>
          </w:r>
          <w:r>
            <w:rPr>
              <w:rStyle w:val="variable"/>
            </w:rPr>
            <w:fldChar w:fldCharType="separate"/>
          </w:r>
          <w:r w:rsidR="005F698B">
            <w:rPr>
              <w:rStyle w:val="variable"/>
              <w:noProof/>
            </w:rPr>
            <w:t>6</w:t>
          </w:r>
          <w:r>
            <w:rPr>
              <w:rStyle w:val="variable"/>
            </w:rPr>
            <w:fldChar w:fldCharType="end"/>
          </w:r>
          <w:r w:rsidR="00A76808">
            <w:rPr>
              <w:rStyle w:val="b"/>
            </w:rPr>
            <w:t>I</w:t>
          </w:r>
        </w:p>
      </w:tc>
      <w:tc>
        <w:tcPr>
          <w:tcW w:w="8524" w:type="dxa"/>
        </w:tcPr>
        <w:p w:rsidR="003E1CEB" w:rsidRDefault="00A76808">
          <w:pPr>
            <w:pStyle w:val="td2"/>
          </w:pPr>
          <w:r>
            <w:rPr>
              <w:rFonts w:ascii="Times New Roman" w:hAnsi="Times New Roman" w:cs="Times New Roman"/>
              <w:b/>
              <w:bCs/>
              <w:i/>
              <w:iCs/>
              <w:color w:val="000000"/>
              <w:sz w:val="20"/>
              <w:szCs w:val="20"/>
            </w:rPr>
            <w:t>Organic Chemistry with Vernier</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8625"/>
      <w:gridCol w:w="755"/>
    </w:tblGrid>
    <w:tr w:rsidR="003E1CEB">
      <w:tc>
        <w:tcPr>
          <w:tcW w:w="8524" w:type="dxa"/>
        </w:tcPr>
        <w:p w:rsidR="003E1CEB" w:rsidRDefault="00A76808">
          <w:pPr>
            <w:pStyle w:val="td3"/>
          </w:pPr>
          <w:r>
            <w:rPr>
              <w:b/>
              <w:bCs/>
              <w:color w:val="000000"/>
              <w:sz w:val="20"/>
              <w:szCs w:val="20"/>
            </w:rPr>
            <w:t>Organic Chemistry with Vernier</w:t>
          </w:r>
        </w:p>
      </w:tc>
      <w:tc>
        <w:tcPr>
          <w:tcW w:w="746" w:type="dxa"/>
        </w:tcPr>
        <w:p w:rsidR="003E1CEB" w:rsidRDefault="001E4A0D">
          <w:pPr>
            <w:pStyle w:val="td4"/>
          </w:pPr>
          <w:r>
            <w:rPr>
              <w:rStyle w:val="b"/>
            </w:rPr>
            <w:fldChar w:fldCharType="begin"/>
          </w:r>
          <w:r w:rsidR="00A76808">
            <w:rPr>
              <w:rStyle w:val="b"/>
            </w:rPr>
            <w:instrText xml:space="preserve"> PAGE \* Arabic  \* MERGEFORMAT </w:instrText>
          </w:r>
          <w:r>
            <w:rPr>
              <w:rStyle w:val="b"/>
            </w:rPr>
            <w:fldChar w:fldCharType="separate"/>
          </w:r>
          <w:r w:rsidR="005F698B">
            <w:rPr>
              <w:rStyle w:val="b"/>
              <w:noProof/>
            </w:rPr>
            <w:t>5</w:t>
          </w:r>
          <w:r>
            <w:rPr>
              <w:rStyle w:val="b"/>
            </w:rPr>
            <w:fldChar w:fldCharType="end"/>
          </w:r>
          <w:r w:rsidR="00A76808">
            <w:rPr>
              <w:rStyle w:val="b"/>
            </w:rPr>
            <w:t>I</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4296"/>
      <w:gridCol w:w="4615"/>
      <w:gridCol w:w="469"/>
    </w:tblGrid>
    <w:tr w:rsidR="003E1CEB">
      <w:tc>
        <w:tcPr>
          <w:tcW w:w="4232" w:type="dxa"/>
          <w:vAlign w:val="bottom"/>
        </w:tcPr>
        <w:p w:rsidR="003E1CEB" w:rsidRDefault="00A76808">
          <w:pPr>
            <w:pStyle w:val="td"/>
          </w:pPr>
          <w:r>
            <w:rPr>
              <w:rFonts w:ascii="Times New Roman" w:hAnsi="Times New Roman" w:cs="Times New Roman"/>
              <w:b/>
              <w:bCs/>
              <w:i/>
              <w:iCs/>
              <w:color w:val="000000"/>
              <w:sz w:val="20"/>
              <w:szCs w:val="20"/>
            </w:rPr>
            <w:t>Organic Chemistry with Vernier</w:t>
          </w:r>
        </w:p>
      </w:tc>
      <w:tc>
        <w:tcPr>
          <w:tcW w:w="4546" w:type="dxa"/>
          <w:vAlign w:val="bottom"/>
        </w:tcPr>
        <w:p w:rsidR="003E1CEB" w:rsidRDefault="00A76808">
          <w:pPr>
            <w:pStyle w:val="td5"/>
          </w:pPr>
          <w:r>
            <w:rPr>
              <w:color w:val="000000"/>
            </w:rPr>
            <w:t xml:space="preserve">© </w:t>
          </w:r>
          <w:r>
            <w:rPr>
              <w:color w:val="000000"/>
              <w:sz w:val="20"/>
              <w:szCs w:val="20"/>
            </w:rPr>
            <w:t>Vernier Software &amp; Technology</w:t>
          </w:r>
        </w:p>
      </w:tc>
      <w:tc>
        <w:tcPr>
          <w:tcW w:w="462" w:type="dxa"/>
          <w:vAlign w:val="bottom"/>
        </w:tcPr>
        <w:p w:rsidR="003E1CEB" w:rsidRDefault="001E4A0D">
          <w:pPr>
            <w:pStyle w:val="pzFooterRight1"/>
          </w:pPr>
          <w:r>
            <w:rPr>
              <w:rStyle w:val="b"/>
            </w:rPr>
            <w:fldChar w:fldCharType="begin"/>
          </w:r>
          <w:r w:rsidR="00A76808">
            <w:rPr>
              <w:rStyle w:val="b"/>
            </w:rPr>
            <w:instrText xml:space="preserve"> PAGE \* Arabic  \* MERGEFORMAT </w:instrText>
          </w:r>
          <w:r>
            <w:rPr>
              <w:rStyle w:val="b"/>
            </w:rPr>
            <w:fldChar w:fldCharType="separate"/>
          </w:r>
          <w:r w:rsidR="005F698B">
            <w:rPr>
              <w:rStyle w:val="b"/>
              <w:noProof/>
            </w:rPr>
            <w:t>1</w:t>
          </w:r>
          <w:r>
            <w:rPr>
              <w:rStyle w:val="b"/>
            </w:rPr>
            <w:fldChar w:fldCharType="end"/>
          </w:r>
          <w:r w:rsidR="00A76808">
            <w:rPr>
              <w:color w:val="000000"/>
            </w:rPr>
            <w:t xml:space="preserve"> </w:t>
          </w:r>
          <w:r w:rsidR="00A76808">
            <w:rPr>
              <w:rStyle w:val="variable2"/>
            </w:rPr>
            <w:t>I</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89" w:rsidRDefault="00336889" w:rsidP="003E1CEB">
      <w:r>
        <w:separator/>
      </w:r>
    </w:p>
  </w:footnote>
  <w:footnote w:type="continuationSeparator" w:id="0">
    <w:p w:rsidR="00336889" w:rsidRDefault="00336889" w:rsidP="003E1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EB" w:rsidRDefault="00A76808">
    <w:pPr>
      <w:pStyle w:val="pzHeaderExperiment"/>
    </w:pPr>
    <w:r>
      <w:t>Experiment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EB" w:rsidRDefault="00A76808">
    <w:pPr>
      <w:pStyle w:val="p"/>
      <w:jc w:val="right"/>
    </w:pPr>
    <w:r>
      <w:rPr>
        <w:color w:val="000000"/>
      </w:rPr>
      <w:t>Observing the Reaction Kinetics of Sucrose with Polarimetry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EB" w:rsidRDefault="003E1C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941C7D4A">
      <w:start w:val="1"/>
      <w:numFmt w:val="decimal"/>
      <w:lvlText w:val=""/>
      <w:lvlJc w:val="left"/>
    </w:lvl>
    <w:lvl w:ilvl="1" w:tplc="0CDE03C6">
      <w:numFmt w:val="bullet"/>
      <w:lvlText w:val=""/>
      <w:lvlJc w:val="right"/>
      <w:pPr>
        <w:tabs>
          <w:tab w:val="num" w:pos="540"/>
        </w:tabs>
        <w:spacing w:after="60" w:line="240" w:lineRule="atLeast"/>
        <w:ind w:left="540" w:hanging="210"/>
        <w:jc w:val="left"/>
      </w:pPr>
      <w:rPr>
        <w:rFonts w:ascii="Times New Roman" w:hAnsi="Symbol" w:hint="default"/>
        <w:color w:val="000000"/>
        <w:sz w:val="24"/>
        <w:szCs w:val="24"/>
      </w:rPr>
    </w:lvl>
    <w:lvl w:ilvl="2" w:tplc="40763F6E">
      <w:start w:val="1"/>
      <w:numFmt w:val="decimal"/>
      <w:lvlText w:val=""/>
      <w:lvlJc w:val="left"/>
    </w:lvl>
    <w:lvl w:ilvl="3" w:tplc="EAC6704C">
      <w:start w:val="1"/>
      <w:numFmt w:val="decimal"/>
      <w:lvlText w:val=""/>
      <w:lvlJc w:val="left"/>
    </w:lvl>
    <w:lvl w:ilvl="4" w:tplc="88127BFE">
      <w:start w:val="1"/>
      <w:numFmt w:val="decimal"/>
      <w:lvlText w:val=""/>
      <w:lvlJc w:val="left"/>
    </w:lvl>
    <w:lvl w:ilvl="5" w:tplc="2E606E3E">
      <w:start w:val="1"/>
      <w:numFmt w:val="decimal"/>
      <w:lvlText w:val=""/>
      <w:lvlJc w:val="left"/>
    </w:lvl>
    <w:lvl w:ilvl="6" w:tplc="B3D0C30A">
      <w:start w:val="1"/>
      <w:numFmt w:val="decimal"/>
      <w:lvlText w:val=""/>
      <w:lvlJc w:val="left"/>
    </w:lvl>
    <w:lvl w:ilvl="7" w:tplc="DFEC0DF2">
      <w:start w:val="1"/>
      <w:numFmt w:val="decimal"/>
      <w:lvlText w:val=""/>
      <w:lvlJc w:val="left"/>
    </w:lvl>
    <w:lvl w:ilvl="8" w:tplc="6F429BB8">
      <w:start w:val="1"/>
      <w:numFmt w:val="decimal"/>
      <w:lvlText w:val=""/>
      <w:lvlJc w:val="left"/>
    </w:lvl>
  </w:abstractNum>
  <w:abstractNum w:abstractNumId="1">
    <w:nsid w:val="00000002"/>
    <w:multiLevelType w:val="hybridMultilevel"/>
    <w:tmpl w:val="00000000"/>
    <w:lvl w:ilvl="0" w:tplc="E3F27968">
      <w:numFmt w:val="bullet"/>
      <w:lvlText w:val=""/>
      <w:lvlJc w:val="right"/>
      <w:pPr>
        <w:tabs>
          <w:tab w:val="num" w:pos="540"/>
        </w:tabs>
        <w:spacing w:after="60" w:line="240" w:lineRule="atLeast"/>
        <w:ind w:left="540" w:hanging="210"/>
        <w:jc w:val="left"/>
      </w:pPr>
      <w:rPr>
        <w:rFonts w:ascii="Times New Roman" w:hAnsi="Symbol" w:hint="default"/>
        <w:color w:val="000000"/>
        <w:sz w:val="24"/>
        <w:szCs w:val="24"/>
      </w:rPr>
    </w:lvl>
    <w:lvl w:ilvl="1" w:tplc="FB1A9774">
      <w:start w:val="1"/>
      <w:numFmt w:val="decimal"/>
      <w:lvlText w:val=""/>
      <w:lvlJc w:val="left"/>
    </w:lvl>
    <w:lvl w:ilvl="2" w:tplc="ADFAE374">
      <w:start w:val="1"/>
      <w:numFmt w:val="decimal"/>
      <w:lvlText w:val=""/>
      <w:lvlJc w:val="left"/>
    </w:lvl>
    <w:lvl w:ilvl="3" w:tplc="5A1E8890">
      <w:start w:val="1"/>
      <w:numFmt w:val="decimal"/>
      <w:lvlText w:val=""/>
      <w:lvlJc w:val="left"/>
    </w:lvl>
    <w:lvl w:ilvl="4" w:tplc="8C16CED6">
      <w:start w:val="1"/>
      <w:numFmt w:val="decimal"/>
      <w:lvlText w:val=""/>
      <w:lvlJc w:val="left"/>
    </w:lvl>
    <w:lvl w:ilvl="5" w:tplc="8F2E456C">
      <w:start w:val="1"/>
      <w:numFmt w:val="decimal"/>
      <w:lvlText w:val=""/>
      <w:lvlJc w:val="left"/>
    </w:lvl>
    <w:lvl w:ilvl="6" w:tplc="9A9AA864">
      <w:start w:val="1"/>
      <w:numFmt w:val="decimal"/>
      <w:lvlText w:val=""/>
      <w:lvlJc w:val="left"/>
    </w:lvl>
    <w:lvl w:ilvl="7" w:tplc="85A20CB6">
      <w:start w:val="1"/>
      <w:numFmt w:val="decimal"/>
      <w:lvlText w:val=""/>
      <w:lvlJc w:val="left"/>
    </w:lvl>
    <w:lvl w:ilvl="8" w:tplc="F6862FDA">
      <w:start w:val="1"/>
      <w:numFmt w:val="decimal"/>
      <w:lvlText w:val=""/>
      <w:lvlJc w:val="left"/>
    </w:lvl>
  </w:abstractNum>
  <w:abstractNum w:abstractNumId="2">
    <w:nsid w:val="00000003"/>
    <w:multiLevelType w:val="hybridMultilevel"/>
    <w:tmpl w:val="00000000"/>
    <w:lvl w:ilvl="0" w:tplc="ADAC5648">
      <w:start w:val="1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963E3362">
      <w:start w:val="1"/>
      <w:numFmt w:val="decimal"/>
      <w:lvlText w:val=""/>
      <w:lvlJc w:val="left"/>
    </w:lvl>
    <w:lvl w:ilvl="2" w:tplc="A78630B8">
      <w:start w:val="1"/>
      <w:numFmt w:val="decimal"/>
      <w:lvlText w:val=""/>
      <w:lvlJc w:val="left"/>
    </w:lvl>
    <w:lvl w:ilvl="3" w:tplc="60B44406">
      <w:start w:val="1"/>
      <w:numFmt w:val="decimal"/>
      <w:lvlText w:val=""/>
      <w:lvlJc w:val="left"/>
    </w:lvl>
    <w:lvl w:ilvl="4" w:tplc="10CCA718">
      <w:start w:val="1"/>
      <w:numFmt w:val="decimal"/>
      <w:lvlText w:val=""/>
      <w:lvlJc w:val="left"/>
    </w:lvl>
    <w:lvl w:ilvl="5" w:tplc="B404B2B6">
      <w:start w:val="1"/>
      <w:numFmt w:val="decimal"/>
      <w:lvlText w:val=""/>
      <w:lvlJc w:val="left"/>
    </w:lvl>
    <w:lvl w:ilvl="6" w:tplc="8AF68F5C">
      <w:start w:val="1"/>
      <w:numFmt w:val="decimal"/>
      <w:lvlText w:val=""/>
      <w:lvlJc w:val="left"/>
    </w:lvl>
    <w:lvl w:ilvl="7" w:tplc="494A30A4">
      <w:start w:val="1"/>
      <w:numFmt w:val="decimal"/>
      <w:lvlText w:val=""/>
      <w:lvlJc w:val="left"/>
    </w:lvl>
    <w:lvl w:ilvl="8" w:tplc="6622AF30">
      <w:start w:val="1"/>
      <w:numFmt w:val="decimal"/>
      <w:lvlText w:val=""/>
      <w:lvlJc w:val="left"/>
    </w:lvl>
  </w:abstractNum>
  <w:abstractNum w:abstractNumId="3">
    <w:nsid w:val="00000004"/>
    <w:multiLevelType w:val="hybridMultilevel"/>
    <w:tmpl w:val="00000000"/>
    <w:lvl w:ilvl="0" w:tplc="9CC0E0BA">
      <w:start w:val="1"/>
      <w:numFmt w:val="decimal"/>
      <w:lvlText w:val="%1."/>
      <w:lvlJc w:val="right"/>
      <w:pPr>
        <w:tabs>
          <w:tab w:val="num" w:pos="360"/>
        </w:tabs>
        <w:spacing w:after="100"/>
        <w:ind w:left="360" w:hanging="210"/>
        <w:jc w:val="left"/>
      </w:pPr>
      <w:rPr>
        <w:rFonts w:ascii="Times New Roman"/>
        <w:color w:val="000000"/>
        <w:sz w:val="24"/>
        <w:szCs w:val="24"/>
      </w:rPr>
    </w:lvl>
    <w:lvl w:ilvl="1" w:tplc="F4B43DB0">
      <w:start w:val="1"/>
      <w:numFmt w:val="decimal"/>
      <w:lvlText w:val=""/>
      <w:lvlJc w:val="left"/>
    </w:lvl>
    <w:lvl w:ilvl="2" w:tplc="E87C9796">
      <w:start w:val="1"/>
      <w:numFmt w:val="decimal"/>
      <w:lvlText w:val=""/>
      <w:lvlJc w:val="left"/>
    </w:lvl>
    <w:lvl w:ilvl="3" w:tplc="E9D4F05A">
      <w:start w:val="1"/>
      <w:numFmt w:val="decimal"/>
      <w:lvlText w:val=""/>
      <w:lvlJc w:val="left"/>
    </w:lvl>
    <w:lvl w:ilvl="4" w:tplc="4A8C3426">
      <w:start w:val="1"/>
      <w:numFmt w:val="decimal"/>
      <w:lvlText w:val=""/>
      <w:lvlJc w:val="left"/>
    </w:lvl>
    <w:lvl w:ilvl="5" w:tplc="FDAA2FA2">
      <w:start w:val="1"/>
      <w:numFmt w:val="decimal"/>
      <w:lvlText w:val=""/>
      <w:lvlJc w:val="left"/>
    </w:lvl>
    <w:lvl w:ilvl="6" w:tplc="B4EC4838">
      <w:start w:val="1"/>
      <w:numFmt w:val="decimal"/>
      <w:lvlText w:val=""/>
      <w:lvlJc w:val="left"/>
    </w:lvl>
    <w:lvl w:ilvl="7" w:tplc="1A44EBB4">
      <w:start w:val="1"/>
      <w:numFmt w:val="decimal"/>
      <w:lvlText w:val=""/>
      <w:lvlJc w:val="left"/>
    </w:lvl>
    <w:lvl w:ilvl="8" w:tplc="169CBA9A">
      <w:start w:val="1"/>
      <w:numFmt w:val="decimal"/>
      <w:lvlText w:val=""/>
      <w:lvlJc w:val="left"/>
    </w:lvl>
  </w:abstractNum>
  <w:abstractNum w:abstractNumId="4">
    <w:nsid w:val="00000005"/>
    <w:multiLevelType w:val="hybridMultilevel"/>
    <w:tmpl w:val="00000000"/>
    <w:lvl w:ilvl="0" w:tplc="2C40E102">
      <w:start w:val="2"/>
      <w:numFmt w:val="decimal"/>
      <w:lvlText w:val="%1."/>
      <w:lvlJc w:val="right"/>
      <w:pPr>
        <w:tabs>
          <w:tab w:val="num" w:pos="360"/>
        </w:tabs>
        <w:spacing w:after="100"/>
        <w:ind w:left="360" w:hanging="210"/>
        <w:jc w:val="left"/>
      </w:pPr>
      <w:rPr>
        <w:rFonts w:ascii="Times New Roman"/>
        <w:color w:val="000000"/>
        <w:sz w:val="24"/>
        <w:szCs w:val="24"/>
      </w:rPr>
    </w:lvl>
    <w:lvl w:ilvl="1" w:tplc="B88662C0">
      <w:start w:val="1"/>
      <w:numFmt w:val="decimal"/>
      <w:lvlText w:val=""/>
      <w:lvlJc w:val="left"/>
    </w:lvl>
    <w:lvl w:ilvl="2" w:tplc="EDDA5518">
      <w:start w:val="1"/>
      <w:numFmt w:val="decimal"/>
      <w:lvlText w:val=""/>
      <w:lvlJc w:val="left"/>
    </w:lvl>
    <w:lvl w:ilvl="3" w:tplc="DC9E5C7C">
      <w:start w:val="1"/>
      <w:numFmt w:val="decimal"/>
      <w:lvlText w:val=""/>
      <w:lvlJc w:val="left"/>
    </w:lvl>
    <w:lvl w:ilvl="4" w:tplc="77240EB4">
      <w:start w:val="1"/>
      <w:numFmt w:val="decimal"/>
      <w:lvlText w:val=""/>
      <w:lvlJc w:val="left"/>
    </w:lvl>
    <w:lvl w:ilvl="5" w:tplc="7C3CAD9E">
      <w:start w:val="1"/>
      <w:numFmt w:val="decimal"/>
      <w:lvlText w:val=""/>
      <w:lvlJc w:val="left"/>
    </w:lvl>
    <w:lvl w:ilvl="6" w:tplc="FD5A1A6E">
      <w:start w:val="1"/>
      <w:numFmt w:val="decimal"/>
      <w:lvlText w:val=""/>
      <w:lvlJc w:val="left"/>
    </w:lvl>
    <w:lvl w:ilvl="7" w:tplc="5FACB84E">
      <w:start w:val="1"/>
      <w:numFmt w:val="decimal"/>
      <w:lvlText w:val=""/>
      <w:lvlJc w:val="left"/>
    </w:lvl>
    <w:lvl w:ilvl="8" w:tplc="0A968FE0">
      <w:start w:val="1"/>
      <w:numFmt w:val="decimal"/>
      <w:lvlText w:val=""/>
      <w:lvlJc w:val="left"/>
    </w:lvl>
  </w:abstractNum>
  <w:abstractNum w:abstractNumId="5">
    <w:nsid w:val="00000006"/>
    <w:multiLevelType w:val="hybridMultilevel"/>
    <w:tmpl w:val="00000000"/>
    <w:lvl w:ilvl="0" w:tplc="1DCEB4EE">
      <w:start w:val="3"/>
      <w:numFmt w:val="decimal"/>
      <w:lvlText w:val="%1."/>
      <w:lvlJc w:val="right"/>
      <w:pPr>
        <w:tabs>
          <w:tab w:val="num" w:pos="360"/>
        </w:tabs>
        <w:spacing w:after="100"/>
        <w:ind w:left="360" w:hanging="210"/>
        <w:jc w:val="left"/>
      </w:pPr>
      <w:rPr>
        <w:rFonts w:ascii="Times New Roman"/>
        <w:color w:val="000000"/>
        <w:sz w:val="24"/>
        <w:szCs w:val="24"/>
      </w:rPr>
    </w:lvl>
    <w:lvl w:ilvl="1" w:tplc="9926B4F8">
      <w:start w:val="1"/>
      <w:numFmt w:val="decimal"/>
      <w:lvlText w:val=""/>
      <w:lvlJc w:val="left"/>
    </w:lvl>
    <w:lvl w:ilvl="2" w:tplc="FDC07A7E">
      <w:start w:val="1"/>
      <w:numFmt w:val="decimal"/>
      <w:lvlText w:val=""/>
      <w:lvlJc w:val="left"/>
    </w:lvl>
    <w:lvl w:ilvl="3" w:tplc="D09810C4">
      <w:start w:val="1"/>
      <w:numFmt w:val="decimal"/>
      <w:lvlText w:val=""/>
      <w:lvlJc w:val="left"/>
    </w:lvl>
    <w:lvl w:ilvl="4" w:tplc="79FAE714">
      <w:start w:val="1"/>
      <w:numFmt w:val="decimal"/>
      <w:lvlText w:val=""/>
      <w:lvlJc w:val="left"/>
    </w:lvl>
    <w:lvl w:ilvl="5" w:tplc="AC40AF6C">
      <w:start w:val="1"/>
      <w:numFmt w:val="decimal"/>
      <w:lvlText w:val=""/>
      <w:lvlJc w:val="left"/>
    </w:lvl>
    <w:lvl w:ilvl="6" w:tplc="3B245574">
      <w:start w:val="1"/>
      <w:numFmt w:val="decimal"/>
      <w:lvlText w:val=""/>
      <w:lvlJc w:val="left"/>
    </w:lvl>
    <w:lvl w:ilvl="7" w:tplc="A416841C">
      <w:start w:val="1"/>
      <w:numFmt w:val="decimal"/>
      <w:lvlText w:val=""/>
      <w:lvlJc w:val="left"/>
    </w:lvl>
    <w:lvl w:ilvl="8" w:tplc="B4D8777A">
      <w:start w:val="1"/>
      <w:numFmt w:val="decimal"/>
      <w:lvlText w:val=""/>
      <w:lvlJc w:val="left"/>
    </w:lvl>
  </w:abstractNum>
  <w:abstractNum w:abstractNumId="6">
    <w:nsid w:val="00000007"/>
    <w:multiLevelType w:val="hybridMultilevel"/>
    <w:tmpl w:val="00000000"/>
    <w:lvl w:ilvl="0" w:tplc="BD982A32">
      <w:start w:val="4"/>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0D68D4C2">
      <w:start w:val="1"/>
      <w:numFmt w:val="decimal"/>
      <w:lvlText w:val=""/>
      <w:lvlJc w:val="left"/>
    </w:lvl>
    <w:lvl w:ilvl="2" w:tplc="D61C94F6">
      <w:start w:val="1"/>
      <w:numFmt w:val="decimal"/>
      <w:lvlText w:val=""/>
      <w:lvlJc w:val="left"/>
    </w:lvl>
    <w:lvl w:ilvl="3" w:tplc="16DC551A">
      <w:start w:val="1"/>
      <w:numFmt w:val="decimal"/>
      <w:lvlText w:val=""/>
      <w:lvlJc w:val="left"/>
    </w:lvl>
    <w:lvl w:ilvl="4" w:tplc="333A9290">
      <w:start w:val="1"/>
      <w:numFmt w:val="decimal"/>
      <w:lvlText w:val=""/>
      <w:lvlJc w:val="left"/>
    </w:lvl>
    <w:lvl w:ilvl="5" w:tplc="25323740">
      <w:start w:val="1"/>
      <w:numFmt w:val="decimal"/>
      <w:lvlText w:val=""/>
      <w:lvlJc w:val="left"/>
    </w:lvl>
    <w:lvl w:ilvl="6" w:tplc="FB7E9AF6">
      <w:start w:val="1"/>
      <w:numFmt w:val="decimal"/>
      <w:lvlText w:val=""/>
      <w:lvlJc w:val="left"/>
    </w:lvl>
    <w:lvl w:ilvl="7" w:tplc="6D7CB1B2">
      <w:start w:val="1"/>
      <w:numFmt w:val="decimal"/>
      <w:lvlText w:val=""/>
      <w:lvlJc w:val="left"/>
    </w:lvl>
    <w:lvl w:ilvl="8" w:tplc="A0486B38">
      <w:start w:val="1"/>
      <w:numFmt w:val="decimal"/>
      <w:lvlText w:val=""/>
      <w:lvlJc w:val="left"/>
    </w:lvl>
  </w:abstractNum>
  <w:abstractNum w:abstractNumId="7">
    <w:nsid w:val="00000008"/>
    <w:multiLevelType w:val="hybridMultilevel"/>
    <w:tmpl w:val="00000000"/>
    <w:lvl w:ilvl="0" w:tplc="C7DE0716">
      <w:start w:val="6"/>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48206F9E">
      <w:start w:val="1"/>
      <w:numFmt w:val="decimal"/>
      <w:lvlText w:val=""/>
      <w:lvlJc w:val="left"/>
    </w:lvl>
    <w:lvl w:ilvl="2" w:tplc="69E6FEF4">
      <w:start w:val="1"/>
      <w:numFmt w:val="decimal"/>
      <w:lvlText w:val=""/>
      <w:lvlJc w:val="left"/>
    </w:lvl>
    <w:lvl w:ilvl="3" w:tplc="6FF2FC04">
      <w:start w:val="1"/>
      <w:numFmt w:val="decimal"/>
      <w:lvlText w:val=""/>
      <w:lvlJc w:val="left"/>
    </w:lvl>
    <w:lvl w:ilvl="4" w:tplc="D79E705A">
      <w:start w:val="1"/>
      <w:numFmt w:val="decimal"/>
      <w:lvlText w:val=""/>
      <w:lvlJc w:val="left"/>
    </w:lvl>
    <w:lvl w:ilvl="5" w:tplc="B8CCD9A6">
      <w:start w:val="1"/>
      <w:numFmt w:val="decimal"/>
      <w:lvlText w:val=""/>
      <w:lvlJc w:val="left"/>
    </w:lvl>
    <w:lvl w:ilvl="6" w:tplc="3D0E959C">
      <w:start w:val="1"/>
      <w:numFmt w:val="decimal"/>
      <w:lvlText w:val=""/>
      <w:lvlJc w:val="left"/>
    </w:lvl>
    <w:lvl w:ilvl="7" w:tplc="F6FE31B4">
      <w:start w:val="1"/>
      <w:numFmt w:val="decimal"/>
      <w:lvlText w:val=""/>
      <w:lvlJc w:val="left"/>
    </w:lvl>
    <w:lvl w:ilvl="8" w:tplc="4D622E58">
      <w:start w:val="1"/>
      <w:numFmt w:val="decimal"/>
      <w:lvlText w:val=""/>
      <w:lvlJc w:val="left"/>
    </w:lvl>
  </w:abstractNum>
  <w:abstractNum w:abstractNumId="8">
    <w:nsid w:val="1AA7212B"/>
    <w:multiLevelType w:val="hybridMultilevel"/>
    <w:tmpl w:val="00000000"/>
    <w:lvl w:ilvl="0" w:tplc="D682C690">
      <w:start w:val="1"/>
      <w:numFmt w:val="decimal"/>
      <w:lvlText w:val="%1."/>
      <w:lvlJc w:val="right"/>
      <w:pPr>
        <w:tabs>
          <w:tab w:val="num" w:pos="360"/>
        </w:tabs>
        <w:spacing w:after="100"/>
        <w:ind w:left="360" w:hanging="210"/>
        <w:jc w:val="left"/>
      </w:pPr>
      <w:rPr>
        <w:rFonts w:ascii="Times New Roman"/>
        <w:color w:val="000000"/>
        <w:sz w:val="24"/>
        <w:szCs w:val="24"/>
      </w:rPr>
    </w:lvl>
    <w:lvl w:ilvl="1" w:tplc="1540A300">
      <w:start w:val="1"/>
      <w:numFmt w:val="decimal"/>
      <w:lvlText w:val=""/>
      <w:lvlJc w:val="left"/>
    </w:lvl>
    <w:lvl w:ilvl="2" w:tplc="B4247E52">
      <w:start w:val="1"/>
      <w:numFmt w:val="decimal"/>
      <w:lvlText w:val=""/>
      <w:lvlJc w:val="left"/>
    </w:lvl>
    <w:lvl w:ilvl="3" w:tplc="6E589412">
      <w:start w:val="1"/>
      <w:numFmt w:val="decimal"/>
      <w:lvlText w:val=""/>
      <w:lvlJc w:val="left"/>
    </w:lvl>
    <w:lvl w:ilvl="4" w:tplc="04D0EE34">
      <w:start w:val="1"/>
      <w:numFmt w:val="decimal"/>
      <w:lvlText w:val=""/>
      <w:lvlJc w:val="left"/>
    </w:lvl>
    <w:lvl w:ilvl="5" w:tplc="D52A56D2">
      <w:start w:val="1"/>
      <w:numFmt w:val="decimal"/>
      <w:lvlText w:val=""/>
      <w:lvlJc w:val="left"/>
    </w:lvl>
    <w:lvl w:ilvl="6" w:tplc="0DCA43C6">
      <w:start w:val="1"/>
      <w:numFmt w:val="decimal"/>
      <w:lvlText w:val=""/>
      <w:lvlJc w:val="left"/>
    </w:lvl>
    <w:lvl w:ilvl="7" w:tplc="86D03CF2">
      <w:start w:val="1"/>
      <w:numFmt w:val="decimal"/>
      <w:lvlText w:val=""/>
      <w:lvlJc w:val="left"/>
    </w:lvl>
    <w:lvl w:ilvl="8" w:tplc="7C7878B0">
      <w:start w:val="1"/>
      <w:numFmt w:val="decimal"/>
      <w:lvlText w:val=""/>
      <w:lvlJc w:val="left"/>
    </w:lvl>
  </w:abstractNum>
  <w:num w:numId="1">
    <w:abstractNumId w:val="8"/>
  </w:num>
  <w:num w:numId="2">
    <w:abstractNumId w:val="8"/>
    <w:lvlOverride w:ilvl="0">
      <w:lvl w:ilvl="0" w:tplc="D682C690">
        <w:start w:val="2"/>
        <w:numFmt w:val="decimal"/>
        <w:lvlText w:val="%1."/>
        <w:lvlJc w:val="right"/>
        <w:pPr>
          <w:tabs>
            <w:tab w:val="num" w:pos="360"/>
          </w:tabs>
          <w:spacing w:after="240" w:line="240" w:lineRule="atLeast"/>
          <w:ind w:left="360" w:hanging="210"/>
          <w:jc w:val="left"/>
        </w:pPr>
        <w:rPr>
          <w:rFonts w:ascii="Times New Roman"/>
          <w:color w:val="000000"/>
          <w:sz w:val="24"/>
          <w:szCs w:val="24"/>
        </w:rPr>
      </w:lvl>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rsids>
    <w:rsidRoot w:val="003E1CEB"/>
    <w:rsid w:val="001E4A0D"/>
    <w:rsid w:val="00336889"/>
    <w:rsid w:val="003E1CEB"/>
    <w:rsid w:val="005F698B"/>
    <w:rsid w:val="00A76808"/>
    <w:rsid w:val="00F7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rsid w:val="003E1CEB"/>
    <w:pPr>
      <w:outlineLvl w:val="0"/>
    </w:pPr>
  </w:style>
  <w:style w:type="paragraph" w:styleId="Heading2">
    <w:name w:val="heading 2"/>
    <w:rsid w:val="003E1CEB"/>
    <w:pPr>
      <w:outlineLvl w:val="1"/>
    </w:pPr>
  </w:style>
  <w:style w:type="paragraph" w:styleId="Heading3">
    <w:name w:val="heading 3"/>
    <w:rsid w:val="003E1CEB"/>
    <w:pPr>
      <w:outlineLvl w:val="2"/>
    </w:pPr>
  </w:style>
  <w:style w:type="paragraph" w:styleId="Heading4">
    <w:name w:val="heading 4"/>
    <w:rsid w:val="003E1CEB"/>
    <w:pPr>
      <w:outlineLvl w:val="3"/>
    </w:pPr>
  </w:style>
  <w:style w:type="paragraph" w:styleId="Heading5">
    <w:name w:val="heading 5"/>
    <w:rsid w:val="003E1CEB"/>
    <w:pPr>
      <w:outlineLvl w:val="4"/>
    </w:pPr>
  </w:style>
  <w:style w:type="paragraph" w:styleId="Heading6">
    <w:name w:val="heading 6"/>
    <w:rsid w:val="003E1CE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zHeaderExperiment">
    <w:name w:val="p_zHeaderExperiment"/>
    <w:rsid w:val="003E1CEB"/>
    <w:pPr>
      <w:spacing w:after="240" w:line="250" w:lineRule="atLeast"/>
    </w:pPr>
    <w:rPr>
      <w:b/>
      <w:bCs/>
      <w:i/>
      <w:iCs/>
      <w:color w:val="000000"/>
      <w:sz w:val="24"/>
      <w:szCs w:val="24"/>
    </w:rPr>
  </w:style>
  <w:style w:type="paragraph" w:customStyle="1" w:styleId="td">
    <w:name w:val="td"/>
    <w:rsid w:val="003E1CEB"/>
    <w:rPr>
      <w:rFonts w:ascii="default" w:hAnsi="default" w:cs="default"/>
      <w:sz w:val="24"/>
      <w:szCs w:val="24"/>
    </w:rPr>
  </w:style>
  <w:style w:type="character" w:customStyle="1" w:styleId="variable">
    <w:name w:val="variable"/>
    <w:rsid w:val="003E1CEB"/>
    <w:rPr>
      <w:rFonts w:ascii="Times New Roman" w:hAnsi="Times New Roman" w:cs="Times New Roman"/>
      <w:b/>
      <w:bCs/>
      <w:color w:val="000000"/>
      <w:sz w:val="24"/>
      <w:szCs w:val="24"/>
    </w:rPr>
  </w:style>
  <w:style w:type="paragraph" w:customStyle="1" w:styleId="td1">
    <w:name w:val="td_1"/>
    <w:rsid w:val="003E1CEB"/>
    <w:rPr>
      <w:sz w:val="24"/>
      <w:szCs w:val="24"/>
    </w:rPr>
  </w:style>
  <w:style w:type="character" w:customStyle="1" w:styleId="b">
    <w:name w:val="b"/>
    <w:rsid w:val="003E1CEB"/>
    <w:rPr>
      <w:b/>
      <w:bCs/>
      <w:color w:val="000000"/>
      <w:sz w:val="24"/>
      <w:szCs w:val="24"/>
    </w:rPr>
  </w:style>
  <w:style w:type="paragraph" w:customStyle="1" w:styleId="td2">
    <w:name w:val="td_2"/>
    <w:rsid w:val="003E1CEB"/>
    <w:pPr>
      <w:jc w:val="right"/>
    </w:pPr>
    <w:rPr>
      <w:rFonts w:ascii="default" w:hAnsi="default" w:cs="default"/>
      <w:sz w:val="24"/>
      <w:szCs w:val="24"/>
    </w:rPr>
  </w:style>
  <w:style w:type="character" w:customStyle="1" w:styleId="variable1">
    <w:name w:val="variable_1"/>
    <w:rsid w:val="003E1CEB"/>
    <w:rPr>
      <w:rFonts w:ascii="Times New Roman" w:hAnsi="Times New Roman" w:cs="Times New Roman"/>
      <w:b/>
      <w:bCs/>
      <w:i/>
      <w:iCs/>
      <w:color w:val="000000"/>
      <w:sz w:val="20"/>
      <w:szCs w:val="20"/>
    </w:rPr>
  </w:style>
  <w:style w:type="paragraph" w:customStyle="1" w:styleId="p">
    <w:name w:val="p"/>
    <w:rsid w:val="003E1CEB"/>
    <w:pPr>
      <w:spacing w:after="240" w:line="250" w:lineRule="atLeast"/>
    </w:pPr>
    <w:rPr>
      <w:sz w:val="24"/>
      <w:szCs w:val="24"/>
    </w:rPr>
  </w:style>
  <w:style w:type="character" w:customStyle="1" w:styleId="variable2">
    <w:name w:val="variable_2"/>
    <w:rsid w:val="003E1CEB"/>
    <w:rPr>
      <w:color w:val="000000"/>
      <w:sz w:val="24"/>
      <w:szCs w:val="24"/>
    </w:rPr>
  </w:style>
  <w:style w:type="paragraph" w:customStyle="1" w:styleId="td3">
    <w:name w:val="td_3"/>
    <w:rsid w:val="003E1CEB"/>
    <w:rPr>
      <w:i/>
      <w:iCs/>
      <w:sz w:val="24"/>
      <w:szCs w:val="24"/>
    </w:rPr>
  </w:style>
  <w:style w:type="character" w:customStyle="1" w:styleId="variable3">
    <w:name w:val="variable_3"/>
    <w:rsid w:val="003E1CEB"/>
    <w:rPr>
      <w:b/>
      <w:bCs/>
      <w:i/>
      <w:iCs/>
      <w:color w:val="000000"/>
      <w:sz w:val="20"/>
      <w:szCs w:val="20"/>
    </w:rPr>
  </w:style>
  <w:style w:type="paragraph" w:customStyle="1" w:styleId="td4">
    <w:name w:val="td_4"/>
    <w:rsid w:val="003E1CEB"/>
    <w:pPr>
      <w:jc w:val="right"/>
    </w:pPr>
    <w:rPr>
      <w:i/>
      <w:iCs/>
      <w:sz w:val="24"/>
      <w:szCs w:val="24"/>
    </w:rPr>
  </w:style>
  <w:style w:type="paragraph" w:customStyle="1" w:styleId="td5">
    <w:name w:val="td_5"/>
    <w:rsid w:val="003E1CEB"/>
    <w:rPr>
      <w:b/>
      <w:bCs/>
      <w:i/>
      <w:iCs/>
      <w:sz w:val="24"/>
      <w:szCs w:val="24"/>
    </w:rPr>
  </w:style>
  <w:style w:type="character" w:customStyle="1" w:styleId="variable4">
    <w:name w:val="variable_4"/>
    <w:rsid w:val="003E1CEB"/>
    <w:rPr>
      <w:color w:val="000000"/>
      <w:sz w:val="20"/>
      <w:szCs w:val="20"/>
    </w:rPr>
  </w:style>
  <w:style w:type="paragraph" w:customStyle="1" w:styleId="pzFooterRight">
    <w:name w:val="p_zFooterRight"/>
    <w:rsid w:val="003E1CEB"/>
    <w:pPr>
      <w:spacing w:after="240" w:line="250" w:lineRule="atLeast"/>
    </w:pPr>
    <w:rPr>
      <w:b/>
      <w:bCs/>
      <w:i/>
      <w:iCs/>
    </w:rPr>
  </w:style>
  <w:style w:type="paragraph" w:customStyle="1" w:styleId="pzFooterRight1">
    <w:name w:val="p_zFooterRight_1"/>
    <w:rsid w:val="003E1CEB"/>
    <w:pPr>
      <w:spacing w:after="240" w:line="250" w:lineRule="atLeast"/>
      <w:jc w:val="right"/>
    </w:pPr>
    <w:rPr>
      <w:b/>
      <w:bCs/>
    </w:rPr>
  </w:style>
  <w:style w:type="paragraph" w:customStyle="1" w:styleId="h1ChapterNumberExperiment">
    <w:name w:val="h1_ChapterNumberExperiment"/>
    <w:rsid w:val="003E1CEB"/>
    <w:pPr>
      <w:pageBreakBefore/>
      <w:spacing w:after="280" w:line="480" w:lineRule="atLeast"/>
      <w:ind w:left="3600" w:hanging="60"/>
      <w:jc w:val="right"/>
    </w:pPr>
    <w:rPr>
      <w:rFonts w:ascii="Arial" w:hAnsi="Arial" w:cs="Arial"/>
      <w:b/>
      <w:bCs/>
      <w:color w:val="000000"/>
      <w:sz w:val="28"/>
      <w:szCs w:val="28"/>
    </w:rPr>
  </w:style>
  <w:style w:type="paragraph" w:customStyle="1" w:styleId="h2Title">
    <w:name w:val="h2_Title"/>
    <w:rsid w:val="003E1CEB"/>
    <w:pPr>
      <w:keepNext/>
      <w:spacing w:before="400" w:after="480"/>
      <w:jc w:val="center"/>
    </w:pPr>
    <w:rPr>
      <w:rFonts w:ascii="Arial" w:hAnsi="Arial" w:cs="Arial"/>
      <w:b/>
      <w:bCs/>
      <w:sz w:val="48"/>
      <w:szCs w:val="48"/>
    </w:rPr>
  </w:style>
  <w:style w:type="paragraph" w:customStyle="1" w:styleId="h2HeadingPrime">
    <w:name w:val="h2_HeadingPrime"/>
    <w:rsid w:val="003E1CEB"/>
    <w:pPr>
      <w:keepNext/>
      <w:spacing w:before="480" w:after="120" w:line="280" w:lineRule="atLeast"/>
    </w:pPr>
    <w:rPr>
      <w:rFonts w:ascii="Arial" w:hAnsi="Arial" w:cs="Arial"/>
      <w:b/>
      <w:bCs/>
      <w:caps/>
      <w:color w:val="000000"/>
      <w:sz w:val="28"/>
      <w:szCs w:val="28"/>
    </w:rPr>
  </w:style>
  <w:style w:type="paragraph" w:customStyle="1" w:styleId="pVSParagraphTextwbullet">
    <w:name w:val="p_VSParagraphTextwbullet"/>
    <w:rsid w:val="003E1CEB"/>
    <w:pPr>
      <w:spacing w:after="240" w:line="250" w:lineRule="atLeast"/>
    </w:pPr>
    <w:rPr>
      <w:sz w:val="24"/>
      <w:szCs w:val="24"/>
    </w:rPr>
  </w:style>
  <w:style w:type="paragraph" w:customStyle="1" w:styleId="li">
    <w:name w:val="li"/>
    <w:rsid w:val="003E1CEB"/>
    <w:pPr>
      <w:spacing w:after="100"/>
      <w:ind w:left="360"/>
    </w:pPr>
    <w:rPr>
      <w:sz w:val="24"/>
      <w:szCs w:val="24"/>
    </w:rPr>
  </w:style>
  <w:style w:type="paragraph" w:customStyle="1" w:styleId="linumberedItem">
    <w:name w:val="li_numberedItem"/>
    <w:rsid w:val="003E1CEB"/>
    <w:pPr>
      <w:spacing w:after="240" w:line="240" w:lineRule="atLeast"/>
      <w:ind w:left="360"/>
    </w:pPr>
    <w:rPr>
      <w:sz w:val="24"/>
      <w:szCs w:val="24"/>
    </w:rPr>
  </w:style>
  <w:style w:type="character" w:customStyle="1" w:styleId="i">
    <w:name w:val="i"/>
    <w:rsid w:val="003E1CEB"/>
    <w:rPr>
      <w:i/>
      <w:iCs/>
      <w:color w:val="000000"/>
      <w:sz w:val="24"/>
      <w:szCs w:val="24"/>
    </w:rPr>
  </w:style>
  <w:style w:type="paragraph" w:customStyle="1" w:styleId="libulletItem">
    <w:name w:val="li_bulletItem"/>
    <w:rsid w:val="003E1CEB"/>
    <w:pPr>
      <w:spacing w:after="60" w:line="240" w:lineRule="atLeast"/>
      <w:ind w:left="907"/>
    </w:pPr>
    <w:rPr>
      <w:sz w:val="24"/>
      <w:szCs w:val="24"/>
    </w:rPr>
  </w:style>
  <w:style w:type="paragraph" w:customStyle="1" w:styleId="pimg">
    <w:name w:val="p_img"/>
    <w:rsid w:val="003E1CEB"/>
    <w:pPr>
      <w:spacing w:after="180" w:line="250" w:lineRule="atLeast"/>
      <w:jc w:val="center"/>
    </w:pPr>
    <w:rPr>
      <w:sz w:val="24"/>
      <w:szCs w:val="24"/>
    </w:rPr>
  </w:style>
  <w:style w:type="paragraph" w:customStyle="1" w:styleId="pGraphiclbl">
    <w:name w:val="p_Graphiclbl"/>
    <w:rsid w:val="003E1CEB"/>
    <w:pPr>
      <w:spacing w:after="120" w:line="250" w:lineRule="atLeast"/>
      <w:jc w:val="center"/>
    </w:pPr>
    <w:rPr>
      <w:i/>
      <w:iCs/>
      <w:sz w:val="24"/>
      <w:szCs w:val="24"/>
    </w:rPr>
  </w:style>
  <w:style w:type="paragraph" w:customStyle="1" w:styleId="p1">
    <w:name w:val="p_1"/>
    <w:rsid w:val="003E1CEB"/>
    <w:pPr>
      <w:spacing w:after="240" w:line="250" w:lineRule="atLeast"/>
      <w:ind w:left="360"/>
    </w:pPr>
    <w:rPr>
      <w:sz w:val="24"/>
      <w:szCs w:val="24"/>
    </w:rPr>
  </w:style>
  <w:style w:type="character" w:customStyle="1" w:styleId="sub">
    <w:name w:val="sub"/>
    <w:rsid w:val="003E1CEB"/>
    <w:rPr>
      <w:color w:val="000000"/>
      <w:sz w:val="17"/>
      <w:szCs w:val="17"/>
      <w:vertAlign w:val="subscript"/>
    </w:rPr>
  </w:style>
  <w:style w:type="paragraph" w:customStyle="1" w:styleId="p2">
    <w:name w:val="p_2"/>
    <w:rsid w:val="003E1CEB"/>
    <w:pPr>
      <w:spacing w:after="240" w:line="250" w:lineRule="atLeast"/>
    </w:pPr>
    <w:rPr>
      <w:rFonts w:ascii="Arial" w:hAnsi="Arial" w:cs="Arial"/>
    </w:rPr>
  </w:style>
  <w:style w:type="character" w:customStyle="1" w:styleId="sub1">
    <w:name w:val="sub_1"/>
    <w:rsid w:val="003E1CEB"/>
    <w:rPr>
      <w:color w:val="000000"/>
      <w:sz w:val="14"/>
      <w:szCs w:val="14"/>
      <w:vertAlign w:val="subscript"/>
    </w:rPr>
  </w:style>
  <w:style w:type="paragraph" w:customStyle="1" w:styleId="h3SubHead1st">
    <w:name w:val="h3_SubHead1st"/>
    <w:rsid w:val="003E1CEB"/>
    <w:pPr>
      <w:keepNext/>
      <w:spacing w:before="200" w:after="120"/>
    </w:pPr>
    <w:rPr>
      <w:rFonts w:ascii="Arial" w:hAnsi="Arial" w:cs="Arial"/>
      <w:b/>
      <w:bCs/>
    </w:rPr>
  </w:style>
  <w:style w:type="paragraph" w:customStyle="1" w:styleId="h3SubHead2nd">
    <w:name w:val="h3_SubHead2nd"/>
    <w:rsid w:val="003E1CEB"/>
    <w:pPr>
      <w:keepNext/>
      <w:spacing w:before="200" w:after="80"/>
    </w:pPr>
    <w:rPr>
      <w:rFonts w:ascii="Arial" w:hAnsi="Arial" w:cs="Arial"/>
    </w:rPr>
  </w:style>
  <w:style w:type="character" w:customStyle="1" w:styleId="span">
    <w:name w:val="span"/>
    <w:rsid w:val="003E1CEB"/>
    <w:rPr>
      <w:rFonts w:ascii="Arial" w:hAnsi="Arial" w:cs="Arial"/>
      <w:color w:val="000000"/>
      <w:sz w:val="24"/>
      <w:szCs w:val="24"/>
    </w:rPr>
  </w:style>
  <w:style w:type="character" w:customStyle="1" w:styleId="sub2">
    <w:name w:val="sub_2"/>
    <w:rsid w:val="003E1CEB"/>
    <w:rPr>
      <w:rFonts w:ascii="Arial" w:hAnsi="Arial" w:cs="Arial"/>
      <w:color w:val="000000"/>
      <w:sz w:val="17"/>
      <w:szCs w:val="17"/>
      <w:vertAlign w:val="subscript"/>
    </w:rPr>
  </w:style>
  <w:style w:type="paragraph" w:customStyle="1" w:styleId="pVSGraphic">
    <w:name w:val="p_VSGraphic"/>
    <w:rsid w:val="003E1CEB"/>
    <w:pPr>
      <w:spacing w:after="240" w:line="250" w:lineRule="atLeast"/>
      <w:ind w:left="360"/>
    </w:pPr>
    <w:rPr>
      <w:sz w:val="24"/>
      <w:szCs w:val="24"/>
    </w:rPr>
  </w:style>
  <w:style w:type="character" w:customStyle="1" w:styleId="sup">
    <w:name w:val="sup"/>
    <w:rsid w:val="003E1CEB"/>
    <w:rPr>
      <w:color w:val="000000"/>
      <w:sz w:val="17"/>
      <w:szCs w:val="17"/>
      <w:vertAlign w:val="superscript"/>
    </w:rPr>
  </w:style>
  <w:style w:type="paragraph" w:customStyle="1" w:styleId="pVSGraphiclbl">
    <w:name w:val="p_VSGraphiclbl"/>
    <w:rsid w:val="003E1CEB"/>
    <w:pPr>
      <w:spacing w:after="240" w:line="250" w:lineRule="atLeas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nier.com/support/updates/"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vernier.com/account"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1273</Words>
  <Characters>7261</Characters>
  <Application>Microsoft Office Word</Application>
  <DocSecurity>0</DocSecurity>
  <Lines>60</Lines>
  <Paragraphs>17</Paragraphs>
  <ScaleCrop>false</ScaleCrop>
  <Company>MadCap Software</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CHEM_O_15_Rxn_Kinetics_of_Sucrose_I</dc:title>
  <dc:creator>MadCap Software</dc:creator>
  <cp:lastModifiedBy>Alex Plank</cp:lastModifiedBy>
  <cp:revision>2</cp:revision>
  <dcterms:created xsi:type="dcterms:W3CDTF">2019-07-02T16:23:00Z</dcterms:created>
  <dcterms:modified xsi:type="dcterms:W3CDTF">2019-07-02T16:23:00Z</dcterms:modified>
</cp:coreProperties>
</file>