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92F" w:rsidRDefault="00DC6DF5" w:rsidP="003D3FF8">
      <w:pPr>
        <w:pStyle w:val="VSTitle"/>
      </w:pPr>
      <w:r w:rsidRPr="00E27F72">
        <w:t>A Guided Inquiry Approach to Understanding Fluorescence Spectroscopy</w:t>
      </w:r>
    </w:p>
    <w:p w:rsidR="00387C97" w:rsidRDefault="002505C3" w:rsidP="00387C97">
      <w:pPr>
        <w:pStyle w:val="VSParagraphtext"/>
      </w:pPr>
      <w:r w:rsidRPr="002505C3">
        <w:t>Th</w:t>
      </w:r>
      <w:r w:rsidR="00AF6E91">
        <w:t>is</w:t>
      </w:r>
      <w:r w:rsidRPr="002505C3">
        <w:t xml:space="preserve"> experiment require</w:t>
      </w:r>
      <w:r w:rsidR="00AF6E91">
        <w:t>s</w:t>
      </w:r>
      <w:r w:rsidRPr="002505C3">
        <w:t xml:space="preserve"> the most recent version of the data-collection software.</w:t>
      </w:r>
      <w:r w:rsidR="00387C97">
        <w:t xml:space="preserve"> Updates can be fou</w:t>
      </w:r>
      <w:r>
        <w:t>nd at www.vernier.com/downloads</w:t>
      </w:r>
      <w:r w:rsidR="00387C97">
        <w:t xml:space="preserve"> </w:t>
      </w:r>
    </w:p>
    <w:p w:rsidR="00C0363F" w:rsidRPr="00C0363F" w:rsidRDefault="00C0363F" w:rsidP="00C0363F">
      <w:pPr>
        <w:pStyle w:val="VSParagraphText0"/>
      </w:pPr>
      <w:r w:rsidRPr="00C0363F">
        <w:rPr>
          <w:rFonts w:eastAsiaTheme="minorEastAsia"/>
        </w:rPr>
        <w:t>Th</w:t>
      </w:r>
      <w:r w:rsidR="00D60F05">
        <w:rPr>
          <w:rFonts w:eastAsiaTheme="minorEastAsia"/>
        </w:rPr>
        <w:t>is</w:t>
      </w:r>
      <w:r w:rsidR="00D306E0">
        <w:rPr>
          <w:rFonts w:eastAsiaTheme="minorEastAsia"/>
        </w:rPr>
        <w:t xml:space="preserve"> experiment is designed with four</w:t>
      </w:r>
      <w:r w:rsidRPr="00C0363F">
        <w:rPr>
          <w:rFonts w:eastAsiaTheme="minorEastAsia"/>
        </w:rPr>
        <w:t xml:space="preserve"> </w:t>
      </w:r>
      <w:r w:rsidR="00D306E0">
        <w:rPr>
          <w:rFonts w:eastAsiaTheme="minorEastAsia"/>
        </w:rPr>
        <w:t>parts</w:t>
      </w:r>
      <w:r w:rsidRPr="00C0363F">
        <w:rPr>
          <w:rFonts w:eastAsiaTheme="minorEastAsia"/>
        </w:rPr>
        <w:t xml:space="preserve"> where each section builds on the previous </w:t>
      </w:r>
      <w:r w:rsidR="00D306E0">
        <w:rPr>
          <w:rFonts w:eastAsiaTheme="minorEastAsia"/>
        </w:rPr>
        <w:t>part</w:t>
      </w:r>
      <w:r w:rsidRPr="00C0363F">
        <w:rPr>
          <w:rFonts w:eastAsiaTheme="minorEastAsia"/>
        </w:rPr>
        <w:t xml:space="preserve">. This allows </w:t>
      </w:r>
      <w:r w:rsidR="00D60F05">
        <w:rPr>
          <w:rFonts w:eastAsiaTheme="minorEastAsia"/>
        </w:rPr>
        <w:t>the instructor</w:t>
      </w:r>
      <w:r w:rsidRPr="00C0363F">
        <w:rPr>
          <w:rFonts w:eastAsiaTheme="minorEastAsia"/>
        </w:rPr>
        <w:t xml:space="preserve"> to decide what level is right for their students. </w:t>
      </w:r>
      <w:r w:rsidR="00D60F05">
        <w:rPr>
          <w:rFonts w:eastAsiaTheme="minorEastAsia"/>
        </w:rPr>
        <w:t>I</w:t>
      </w:r>
      <w:r w:rsidRPr="00C0363F">
        <w:rPr>
          <w:rFonts w:eastAsiaTheme="minorEastAsia"/>
        </w:rPr>
        <w:t xml:space="preserve">t also helps break it down for students so that they can get passed the intimidation of operating an instrument first and then focus on learning the science. </w:t>
      </w:r>
    </w:p>
    <w:p w:rsidR="00C0363F" w:rsidRPr="00C0363F" w:rsidRDefault="00C0363F" w:rsidP="00C0363F">
      <w:pPr>
        <w:pStyle w:val="VSParagraphText0"/>
      </w:pPr>
      <w:r w:rsidRPr="00C0363F">
        <w:rPr>
          <w:rFonts w:eastAsiaTheme="minorEastAsia"/>
        </w:rPr>
        <w:t xml:space="preserve">The experiment starts off with exploring the instrument and the data collection parameters. Students learn how these data collection parameters play off of each other to </w:t>
      </w:r>
      <w:r w:rsidR="00893A26">
        <w:rPr>
          <w:rFonts w:eastAsiaTheme="minorEastAsia"/>
        </w:rPr>
        <w:t>generate</w:t>
      </w:r>
      <w:r w:rsidRPr="00C0363F">
        <w:rPr>
          <w:rFonts w:eastAsiaTheme="minorEastAsia"/>
        </w:rPr>
        <w:t xml:space="preserve"> a spectrum. </w:t>
      </w:r>
    </w:p>
    <w:p w:rsidR="00C0363F" w:rsidRPr="00C0363F" w:rsidRDefault="00C0363F" w:rsidP="00C0363F">
      <w:pPr>
        <w:pStyle w:val="VSParagraphText0"/>
      </w:pPr>
      <w:r w:rsidRPr="00C0363F">
        <w:rPr>
          <w:rFonts w:eastAsiaTheme="minorEastAsia"/>
        </w:rPr>
        <w:t xml:space="preserve">Then </w:t>
      </w:r>
      <w:r w:rsidR="00D60F05">
        <w:rPr>
          <w:rFonts w:eastAsiaTheme="minorEastAsia"/>
        </w:rPr>
        <w:t>students explore</w:t>
      </w:r>
      <w:r w:rsidRPr="00C0363F">
        <w:rPr>
          <w:rFonts w:eastAsiaTheme="minorEastAsia"/>
        </w:rPr>
        <w:t xml:space="preserve"> the fluorescence data collection part. Once the students start investigating samples, they’ll determine the optimum wavelength for excitation by looking at the absorbance spectrum</w:t>
      </w:r>
      <w:r w:rsidR="00121A7B">
        <w:rPr>
          <w:rFonts w:eastAsiaTheme="minorEastAsia"/>
        </w:rPr>
        <w:t xml:space="preserve"> and various LED excitation wavelengths</w:t>
      </w:r>
      <w:r w:rsidRPr="00C0363F">
        <w:rPr>
          <w:rFonts w:eastAsiaTheme="minorEastAsia"/>
        </w:rPr>
        <w:t xml:space="preserve">, manipulating the data collection parameters, and manipulating the LED </w:t>
      </w:r>
      <w:r w:rsidR="00121A7B">
        <w:rPr>
          <w:rFonts w:eastAsiaTheme="minorEastAsia"/>
        </w:rPr>
        <w:t>intensity</w:t>
      </w:r>
      <w:r w:rsidRPr="00C0363F">
        <w:rPr>
          <w:rFonts w:eastAsiaTheme="minorEastAsia"/>
        </w:rPr>
        <w:t xml:space="preserve"> with a known sample. The goal of this is to get a </w:t>
      </w:r>
      <w:r w:rsidR="00893A26">
        <w:rPr>
          <w:rFonts w:eastAsiaTheme="minorEastAsia"/>
        </w:rPr>
        <w:t>strong, clear</w:t>
      </w:r>
      <w:r w:rsidRPr="00C0363F">
        <w:rPr>
          <w:rFonts w:eastAsiaTheme="minorEastAsia"/>
        </w:rPr>
        <w:t xml:space="preserve"> spectrum while manipulating the parameters they just learned about, plus a few more. </w:t>
      </w:r>
    </w:p>
    <w:p w:rsidR="00C0363F" w:rsidRPr="00C0363F" w:rsidRDefault="00D306E0" w:rsidP="00C0363F">
      <w:pPr>
        <w:pStyle w:val="VSParagraphText0"/>
      </w:pPr>
      <w:r>
        <w:rPr>
          <w:rFonts w:eastAsiaTheme="minorEastAsia"/>
        </w:rPr>
        <w:t>Part</w:t>
      </w:r>
      <w:r w:rsidR="00C0363F" w:rsidRPr="00C0363F">
        <w:rPr>
          <w:rFonts w:eastAsiaTheme="minorEastAsia"/>
        </w:rPr>
        <w:t xml:space="preserve"> </w:t>
      </w:r>
      <w:r>
        <w:rPr>
          <w:rFonts w:eastAsiaTheme="minorEastAsia"/>
        </w:rPr>
        <w:t>three</w:t>
      </w:r>
      <w:r w:rsidR="00C0363F" w:rsidRPr="00C0363F">
        <w:rPr>
          <w:rFonts w:eastAsiaTheme="minorEastAsia"/>
        </w:rPr>
        <w:t xml:space="preserve"> has them prepare </w:t>
      </w:r>
      <w:r w:rsidR="00D60F05">
        <w:rPr>
          <w:rFonts w:eastAsiaTheme="minorEastAsia"/>
        </w:rPr>
        <w:t>serial dilutions from a stock solution</w:t>
      </w:r>
      <w:r w:rsidR="00C0363F" w:rsidRPr="00C0363F">
        <w:rPr>
          <w:rFonts w:eastAsiaTheme="minorEastAsia"/>
        </w:rPr>
        <w:t xml:space="preserve"> to investigate the most vital, and perhaps trickiest part of fluorescence spectroscopy, the </w:t>
      </w:r>
      <w:r w:rsidR="00D60F05">
        <w:rPr>
          <w:rFonts w:eastAsiaTheme="minorEastAsia"/>
        </w:rPr>
        <w:t xml:space="preserve">effect of </w:t>
      </w:r>
      <w:r w:rsidR="00C0363F" w:rsidRPr="00C0363F">
        <w:rPr>
          <w:rFonts w:eastAsiaTheme="minorEastAsia"/>
        </w:rPr>
        <w:t xml:space="preserve">concentration </w:t>
      </w:r>
      <w:r w:rsidR="00D60F05">
        <w:rPr>
          <w:rFonts w:eastAsiaTheme="minorEastAsia"/>
        </w:rPr>
        <w:t>on fluorescence emission</w:t>
      </w:r>
      <w:r w:rsidR="00C0363F" w:rsidRPr="00C0363F">
        <w:rPr>
          <w:rFonts w:eastAsiaTheme="minorEastAsia"/>
        </w:rPr>
        <w:t xml:space="preserve">. </w:t>
      </w:r>
      <w:r>
        <w:rPr>
          <w:rFonts w:eastAsiaTheme="minorEastAsia"/>
        </w:rPr>
        <w:t>This will allow them to</w:t>
      </w:r>
      <w:r w:rsidR="00C0363F" w:rsidRPr="00C0363F">
        <w:rPr>
          <w:rFonts w:eastAsiaTheme="minorEastAsia"/>
        </w:rPr>
        <w:t xml:space="preserve"> explore </w:t>
      </w:r>
      <w:proofErr w:type="spellStart"/>
      <w:r w:rsidR="00C0363F" w:rsidRPr="00C0363F">
        <w:rPr>
          <w:rFonts w:eastAsiaTheme="minorEastAsia"/>
        </w:rPr>
        <w:t>photobleaching</w:t>
      </w:r>
      <w:proofErr w:type="spellEnd"/>
      <w:r w:rsidR="00C0363F" w:rsidRPr="00C0363F">
        <w:rPr>
          <w:rFonts w:eastAsiaTheme="minorEastAsia"/>
        </w:rPr>
        <w:t>, or the inner filter effect.</w:t>
      </w:r>
    </w:p>
    <w:p w:rsidR="00C0363F" w:rsidRPr="00C0363F" w:rsidRDefault="00C0363F" w:rsidP="00C0363F">
      <w:pPr>
        <w:pStyle w:val="VSParagraphText0"/>
      </w:pPr>
      <w:r w:rsidRPr="00C0363F">
        <w:rPr>
          <w:rFonts w:eastAsiaTheme="minorEastAsia"/>
        </w:rPr>
        <w:t xml:space="preserve">Finally, they </w:t>
      </w:r>
      <w:r w:rsidR="00D306E0">
        <w:rPr>
          <w:rFonts w:eastAsiaTheme="minorEastAsia"/>
        </w:rPr>
        <w:t>can</w:t>
      </w:r>
      <w:r w:rsidRPr="00C0363F">
        <w:rPr>
          <w:rFonts w:eastAsiaTheme="minorEastAsia"/>
        </w:rPr>
        <w:t xml:space="preserve"> start to learn</w:t>
      </w:r>
      <w:r w:rsidR="00D306E0">
        <w:rPr>
          <w:rFonts w:eastAsiaTheme="minorEastAsia"/>
        </w:rPr>
        <w:t xml:space="preserve"> about the</w:t>
      </w:r>
      <w:r w:rsidRPr="00C0363F">
        <w:rPr>
          <w:rFonts w:eastAsiaTheme="minorEastAsia"/>
        </w:rPr>
        <w:t xml:space="preserve"> properties of molecules through fluorescence spectroscopy. This is for the most advanced undergraduates in upper division classes such as biochem</w:t>
      </w:r>
      <w:r w:rsidR="00D306E0">
        <w:rPr>
          <w:rFonts w:eastAsiaTheme="minorEastAsia"/>
        </w:rPr>
        <w:t>istry</w:t>
      </w:r>
      <w:r w:rsidRPr="00C0363F">
        <w:rPr>
          <w:rFonts w:eastAsiaTheme="minorEastAsia"/>
        </w:rPr>
        <w:t xml:space="preserve"> and physical chem</w:t>
      </w:r>
      <w:r w:rsidR="00D306E0">
        <w:rPr>
          <w:rFonts w:eastAsiaTheme="minorEastAsia"/>
        </w:rPr>
        <w:t xml:space="preserve">istry. Several parameters can be investigated </w:t>
      </w:r>
      <w:r w:rsidR="00121A7B">
        <w:rPr>
          <w:rFonts w:eastAsiaTheme="minorEastAsia"/>
        </w:rPr>
        <w:t>here;</w:t>
      </w:r>
      <w:r w:rsidR="00D306E0">
        <w:rPr>
          <w:rFonts w:eastAsiaTheme="minorEastAsia"/>
        </w:rPr>
        <w:t xml:space="preserve"> </w:t>
      </w:r>
      <w:r w:rsidR="00121A7B">
        <w:t>this particular experiment looks at how changes in pH and halide concentration modify fluorescence emission</w:t>
      </w:r>
      <w:r w:rsidRPr="00C0363F">
        <w:rPr>
          <w:rFonts w:eastAsiaTheme="minorEastAsia"/>
        </w:rPr>
        <w:t xml:space="preserve">. </w:t>
      </w:r>
      <w:r w:rsidR="00D306E0">
        <w:rPr>
          <w:rFonts w:eastAsiaTheme="minorEastAsia"/>
        </w:rPr>
        <w:t xml:space="preserve">Based on time and curriculum constraints, it is best to only pick one of these topics for part four. </w:t>
      </w:r>
    </w:p>
    <w:p w:rsidR="00C0363F" w:rsidRPr="00C0363F" w:rsidRDefault="00C0363F" w:rsidP="00C0363F">
      <w:pPr>
        <w:pStyle w:val="VSParagraphText0"/>
      </w:pPr>
      <w:r w:rsidRPr="00C0363F">
        <w:rPr>
          <w:rFonts w:eastAsiaTheme="minorEastAsia"/>
        </w:rPr>
        <w:t>The</w:t>
      </w:r>
      <w:r w:rsidR="00D306E0">
        <w:rPr>
          <w:rFonts w:eastAsiaTheme="minorEastAsia"/>
        </w:rPr>
        <w:t xml:space="preserve"> experiment is written for use with the</w:t>
      </w:r>
      <w:r w:rsidRPr="00C0363F">
        <w:rPr>
          <w:rFonts w:eastAsiaTheme="minorEastAsia"/>
        </w:rPr>
        <w:t xml:space="preserve"> Vernier </w:t>
      </w:r>
      <w:r w:rsidR="00121A7B">
        <w:rPr>
          <w:rFonts w:eastAsiaTheme="minorEastAsia"/>
        </w:rPr>
        <w:t>Fluorescence/</w:t>
      </w:r>
      <w:r w:rsidR="00D306E0">
        <w:rPr>
          <w:rFonts w:eastAsiaTheme="minorEastAsia"/>
        </w:rPr>
        <w:t>UV-VIS Spectrophotometer. It</w:t>
      </w:r>
      <w:r w:rsidRPr="00C0363F">
        <w:rPr>
          <w:rFonts w:eastAsiaTheme="minorEastAsia"/>
        </w:rPr>
        <w:t xml:space="preserve"> is unique in that it is an LED based system which allows you to modify excitation wavelength </w:t>
      </w:r>
      <w:r w:rsidR="00D306E0">
        <w:rPr>
          <w:rFonts w:eastAsiaTheme="minorEastAsia"/>
        </w:rPr>
        <w:t>by simply changing the LED</w:t>
      </w:r>
      <w:r w:rsidRPr="00C0363F">
        <w:rPr>
          <w:rFonts w:eastAsiaTheme="minorEastAsia"/>
        </w:rPr>
        <w:t xml:space="preserve">. </w:t>
      </w:r>
      <w:r w:rsidR="00121A7B">
        <w:rPr>
          <w:rFonts w:eastAsiaTheme="minorEastAsia"/>
        </w:rPr>
        <w:t>Parts of this</w:t>
      </w:r>
      <w:r w:rsidR="00D306E0">
        <w:rPr>
          <w:rFonts w:eastAsiaTheme="minorEastAsia"/>
        </w:rPr>
        <w:t xml:space="preserve"> experiment can also be performed with the </w:t>
      </w:r>
      <w:proofErr w:type="spellStart"/>
      <w:r w:rsidR="00D306E0">
        <w:rPr>
          <w:rFonts w:eastAsiaTheme="minorEastAsia"/>
        </w:rPr>
        <w:t>SpectroVis</w:t>
      </w:r>
      <w:proofErr w:type="spellEnd"/>
      <w:r w:rsidR="00D306E0">
        <w:rPr>
          <w:rFonts w:eastAsiaTheme="minorEastAsia"/>
        </w:rPr>
        <w:t xml:space="preserve"> Plus or the Go Direct </w:t>
      </w:r>
      <w:proofErr w:type="spellStart"/>
      <w:r w:rsidR="00D306E0">
        <w:rPr>
          <w:rFonts w:eastAsiaTheme="minorEastAsia"/>
        </w:rPr>
        <w:t>SpectroVis</w:t>
      </w:r>
      <w:proofErr w:type="spellEnd"/>
      <w:r w:rsidR="00D306E0">
        <w:rPr>
          <w:rFonts w:eastAsiaTheme="minorEastAsia"/>
        </w:rPr>
        <w:t xml:space="preserve"> Plus. However, you will need to use fluorescein as a sample instead of quinine. </w:t>
      </w:r>
      <w:r w:rsidR="00893A26">
        <w:rPr>
          <w:rFonts w:eastAsiaTheme="minorEastAsia"/>
        </w:rPr>
        <w:t xml:space="preserve">Download the entire experiment for the Go Direct </w:t>
      </w:r>
      <w:proofErr w:type="spellStart"/>
      <w:r w:rsidR="00893A26">
        <w:rPr>
          <w:rFonts w:eastAsiaTheme="minorEastAsia"/>
        </w:rPr>
        <w:t>SpectroVis</w:t>
      </w:r>
      <w:proofErr w:type="spellEnd"/>
      <w:r w:rsidR="00893A26">
        <w:rPr>
          <w:rFonts w:eastAsiaTheme="minorEastAsia"/>
        </w:rPr>
        <w:t xml:space="preserve"> Plus at </w:t>
      </w:r>
      <w:r w:rsidR="00893A26" w:rsidRPr="0020010F">
        <w:t>http://www.vernier.com/</w:t>
      </w:r>
      <w:r w:rsidR="00893A26">
        <w:t>gdx-svispl</w:t>
      </w:r>
      <w:r w:rsidR="00893A26" w:rsidRPr="0020010F">
        <w:t>/</w:t>
      </w:r>
    </w:p>
    <w:p w:rsidR="00B362AD" w:rsidRPr="00A16601" w:rsidRDefault="00893A26" w:rsidP="00B362AD">
      <w:pPr>
        <w:pStyle w:val="VSHeadingPrime"/>
        <w:keepNext/>
      </w:pPr>
      <w:r>
        <w:t>before you begin</w:t>
      </w:r>
    </w:p>
    <w:p w:rsidR="00B362AD" w:rsidRDefault="00AF6E91" w:rsidP="005C636E">
      <w:pPr>
        <w:pStyle w:val="VSParagraphObjectivebullet"/>
      </w:pPr>
      <w:r>
        <w:t>It is recommended that you read the Vernier Fluorescence/UV-VIS Spectrophotometer user guide before beginning this, or any, experiment with the instrument.</w:t>
      </w:r>
    </w:p>
    <w:p w:rsidR="00893A26" w:rsidRDefault="00893A26" w:rsidP="005C636E">
      <w:pPr>
        <w:pStyle w:val="VSParagraphObjectivebullet"/>
      </w:pPr>
      <w:r>
        <w:t xml:space="preserve">Logger </w:t>
      </w:r>
      <w:r w:rsidRPr="00893A26">
        <w:rPr>
          <w:i/>
        </w:rPr>
        <w:t>Pro</w:t>
      </w:r>
      <w:r>
        <w:t xml:space="preserve"> version 3.15 or newer, or </w:t>
      </w:r>
      <w:proofErr w:type="spellStart"/>
      <w:r>
        <w:t>LabQuest</w:t>
      </w:r>
      <w:proofErr w:type="spellEnd"/>
      <w:r>
        <w:t xml:space="preserve"> 2 App version 2.8.2 or newer is required for this experiment. </w:t>
      </w:r>
    </w:p>
    <w:p w:rsidR="000B2023" w:rsidRDefault="000B2023" w:rsidP="000B2023">
      <w:pPr>
        <w:pStyle w:val="VSSpacer"/>
      </w:pPr>
    </w:p>
    <w:p w:rsidR="009D2F7C" w:rsidRDefault="009D2F7C" w:rsidP="009D2F7C">
      <w:pPr>
        <w:pStyle w:val="VSHeadingPrime"/>
      </w:pPr>
      <w:r>
        <w:lastRenderedPageBreak/>
        <w:t xml:space="preserve">Instructor </w:t>
      </w:r>
      <w:r w:rsidR="004B1FD6">
        <w:t>Notes</w:t>
      </w:r>
    </w:p>
    <w:p w:rsidR="00C0363F" w:rsidRDefault="00C0363F" w:rsidP="00C0363F">
      <w:pPr>
        <w:pStyle w:val="VSHeadingsub1"/>
      </w:pPr>
      <w:r>
        <w:t xml:space="preserve">Part </w:t>
      </w:r>
      <w:proofErr w:type="gramStart"/>
      <w:r>
        <w:t>I  Operating</w:t>
      </w:r>
      <w:proofErr w:type="gramEnd"/>
      <w:r>
        <w:t xml:space="preserve"> a Spectrometer: Exploring the Instrument</w:t>
      </w:r>
    </w:p>
    <w:p w:rsidR="00C0363F" w:rsidRPr="00C0363F" w:rsidRDefault="00C0363F" w:rsidP="00C0363F">
      <w:pPr>
        <w:pStyle w:val="VSStep"/>
      </w:pPr>
      <w:r w:rsidRPr="00C0363F">
        <w:t xml:space="preserve">The first </w:t>
      </w:r>
      <w:r>
        <w:t>part</w:t>
      </w:r>
      <w:r w:rsidRPr="00C0363F">
        <w:t xml:space="preserve"> is designed for all students in any science class just wanting to understand how a spectrometer works. The easiest way to play around with spectrometer settings is to simply look at the raw output from the lamp</w:t>
      </w:r>
      <w:r>
        <w:t>, independent of a liquid sample</w:t>
      </w:r>
      <w:r w:rsidRPr="00C0363F">
        <w:t xml:space="preserve">. In </w:t>
      </w:r>
      <w:r w:rsidR="0026325D">
        <w:t xml:space="preserve">Logger </w:t>
      </w:r>
      <w:r w:rsidR="0026325D">
        <w:rPr>
          <w:i/>
        </w:rPr>
        <w:t>Pro</w:t>
      </w:r>
      <w:r w:rsidR="0026325D">
        <w:t xml:space="preserve"> or </w:t>
      </w:r>
      <w:proofErr w:type="spellStart"/>
      <w:r w:rsidR="0026325D">
        <w:t>LabQuest</w:t>
      </w:r>
      <w:proofErr w:type="spellEnd"/>
      <w:r w:rsidR="0026325D">
        <w:t xml:space="preserve"> App</w:t>
      </w:r>
      <w:r w:rsidRPr="00C0363F">
        <w:t xml:space="preserve">, </w:t>
      </w:r>
      <w:r>
        <w:t>this is referred to</w:t>
      </w:r>
      <w:r w:rsidRPr="00C0363F">
        <w:t xml:space="preserve"> </w:t>
      </w:r>
      <w:r>
        <w:t>as U</w:t>
      </w:r>
      <w:r w:rsidRPr="00C0363F">
        <w:t xml:space="preserve">ncalibrated </w:t>
      </w:r>
      <w:r>
        <w:t>D</w:t>
      </w:r>
      <w:r w:rsidRPr="00C0363F">
        <w:t xml:space="preserve">ata mode and it displays the raw lamp output which typically looks like </w:t>
      </w:r>
      <w:r>
        <w:t>Figure 1.</w:t>
      </w:r>
      <w:r w:rsidRPr="00C0363F">
        <w:t xml:space="preserve"> </w:t>
      </w:r>
    </w:p>
    <w:p w:rsidR="00EC3C36" w:rsidRPr="00C0363F" w:rsidRDefault="00C0363F" w:rsidP="00B94418">
      <w:pPr>
        <w:pStyle w:val="VSStep"/>
      </w:pPr>
      <w:r>
        <w:t>S</w:t>
      </w:r>
      <w:r w:rsidRPr="00C0363F">
        <w:t>tudents adjust the</w:t>
      </w:r>
      <w:r w:rsidR="0026325D">
        <w:t xml:space="preserve"> various</w:t>
      </w:r>
      <w:r w:rsidRPr="00C0363F">
        <w:t xml:space="preserve"> settings to explore what affect </w:t>
      </w:r>
      <w:r w:rsidR="0026325D">
        <w:t>they might</w:t>
      </w:r>
      <w:r w:rsidRPr="00C0363F">
        <w:t xml:space="preserve"> have on their spectrum. There are multiple parameters than can be adjusted on a spectrometer. The first, and most commonly</w:t>
      </w:r>
      <w:r w:rsidR="00B94418">
        <w:t xml:space="preserve"> manipulated parameter, is the S</w:t>
      </w:r>
      <w:r w:rsidRPr="00C0363F">
        <w:t xml:space="preserve">ample </w:t>
      </w:r>
      <w:r w:rsidR="00B94418">
        <w:t>T</w:t>
      </w:r>
      <w:r w:rsidRPr="00C0363F">
        <w:t>ime</w:t>
      </w:r>
      <w:r w:rsidR="00B94418">
        <w:t>.</w:t>
      </w:r>
      <w:r w:rsidR="00B94418" w:rsidRPr="00C0363F">
        <w:t xml:space="preserve"> </w:t>
      </w:r>
      <w:r w:rsidR="00B94418">
        <w:t>The Sample Time</w:t>
      </w:r>
      <w:r w:rsidRPr="00C0363F">
        <w:t xml:space="preserve"> is the time that the individual diodes (pixels) in the array are allowed to respond to light before they are “read out” and reset to zero. They respond linearly to light </w:t>
      </w:r>
      <w:r w:rsidR="00B94418">
        <w:t>until they approach saturation. When</w:t>
      </w:r>
      <w:r w:rsidRPr="00C0363F">
        <w:t xml:space="preserve"> students increase and decrease this value, the signal will get larger and</w:t>
      </w:r>
      <w:r w:rsidR="00B94418">
        <w:t xml:space="preserve"> smaller proportionally. </w:t>
      </w:r>
    </w:p>
    <w:p w:rsidR="00B94418" w:rsidRDefault="00C0363F" w:rsidP="004E3BDD">
      <w:pPr>
        <w:pStyle w:val="VSStep"/>
      </w:pPr>
      <w:r w:rsidRPr="00C0363F">
        <w:t>Once they’ve explored how the sample time affects the intensity and saturation of the lamp signal, they might notice that the spectrum looks quite noisy.</w:t>
      </w:r>
      <w:r w:rsidR="00B94418">
        <w:t xml:space="preserve"> </w:t>
      </w:r>
      <w:r w:rsidRPr="00C0363F">
        <w:t>The noise consists of random fluctuations</w:t>
      </w:r>
      <w:r w:rsidR="00B94418">
        <w:t>. To</w:t>
      </w:r>
      <w:r w:rsidRPr="00C0363F">
        <w:t xml:space="preserve"> reduce this, </w:t>
      </w:r>
      <w:r w:rsidR="00B94418">
        <w:t>spectrometer software</w:t>
      </w:r>
      <w:r w:rsidRPr="00C0363F">
        <w:t xml:space="preserve"> use</w:t>
      </w:r>
      <w:r w:rsidR="00B94418">
        <w:t>s</w:t>
      </w:r>
      <w:r w:rsidRPr="00C0363F">
        <w:t xml:space="preserve"> mathematical </w:t>
      </w:r>
      <w:r w:rsidR="00B94418">
        <w:t>signal to noise</w:t>
      </w:r>
      <w:r w:rsidRPr="00C0363F">
        <w:t xml:space="preserve"> enhancement techni</w:t>
      </w:r>
      <w:r w:rsidR="00B94418">
        <w:t xml:space="preserve">ques. Two options are available in Logger </w:t>
      </w:r>
      <w:r w:rsidR="00B94418" w:rsidRPr="0026325D">
        <w:rPr>
          <w:i/>
        </w:rPr>
        <w:t>Pro</w:t>
      </w:r>
      <w:r w:rsidR="00B94418">
        <w:t xml:space="preserve"> and </w:t>
      </w:r>
      <w:proofErr w:type="spellStart"/>
      <w:r w:rsidR="00B94418">
        <w:t>LabQuest</w:t>
      </w:r>
      <w:proofErr w:type="spellEnd"/>
      <w:r w:rsidR="00B94418">
        <w:t xml:space="preserve"> App</w:t>
      </w:r>
      <w:r w:rsidR="0026325D">
        <w:t>: wavelength smoothing and samples to average</w:t>
      </w:r>
      <w:r w:rsidR="00B94418">
        <w:t xml:space="preserve">. </w:t>
      </w:r>
      <w:r w:rsidR="00B94418" w:rsidRPr="00C0363F">
        <w:t xml:space="preserve">Learning the balance between all these parameters is important for working with any spectrometer. </w:t>
      </w:r>
      <w:r w:rsidR="00B94418">
        <w:t>It is</w:t>
      </w:r>
      <w:r w:rsidR="00B94418" w:rsidRPr="00C0363F">
        <w:t xml:space="preserve"> especially </w:t>
      </w:r>
      <w:r w:rsidR="00B94418">
        <w:t xml:space="preserve">important for </w:t>
      </w:r>
      <w:r w:rsidR="00B94418" w:rsidRPr="00C0363F">
        <w:t>fluorescence since it is such a sensitive technique.</w:t>
      </w:r>
    </w:p>
    <w:p w:rsidR="00EC3C36" w:rsidRPr="00C0363F" w:rsidRDefault="00B94418" w:rsidP="00B94418">
      <w:pPr>
        <w:pStyle w:val="VSStep"/>
        <w:numPr>
          <w:ilvl w:val="1"/>
          <w:numId w:val="26"/>
        </w:numPr>
      </w:pPr>
      <w:r>
        <w:t>The first is</w:t>
      </w:r>
      <w:r w:rsidR="00C0363F" w:rsidRPr="00C0363F">
        <w:t xml:space="preserve"> Wave</w:t>
      </w:r>
      <w:r>
        <w:t>length S</w:t>
      </w:r>
      <w:r w:rsidR="00C0363F" w:rsidRPr="00C0363F">
        <w:t>moothing</w:t>
      </w:r>
      <w:r>
        <w:t xml:space="preserve">, which </w:t>
      </w:r>
      <w:r w:rsidR="00C0363F" w:rsidRPr="00C0363F">
        <w:t>performs a boxcar average</w:t>
      </w:r>
      <w:r>
        <w:t xml:space="preserve"> over </w:t>
      </w:r>
      <w:r w:rsidR="00C0363F" w:rsidRPr="00C0363F">
        <w:t>adjacent detector elements. A value of 5, for example, average</w:t>
      </w:r>
      <w:r w:rsidR="0026325D">
        <w:t>s</w:t>
      </w:r>
      <w:r w:rsidR="00C0363F" w:rsidRPr="00C0363F">
        <w:t xml:space="preserve"> each data point with 5 points to its left and 5 points to its right. The greater this value, the smoother</w:t>
      </w:r>
      <w:r>
        <w:t xml:space="preserve"> the data and the higher the signal to noise</w:t>
      </w:r>
      <w:r w:rsidR="00C0363F" w:rsidRPr="00C0363F">
        <w:t xml:space="preserve"> ratio. If the value entered is too high, a loss in spectral resolution will result. </w:t>
      </w:r>
      <w:r>
        <w:t>This can result in the</w:t>
      </w:r>
      <w:r w:rsidR="00C0363F" w:rsidRPr="00C0363F">
        <w:t xml:space="preserve"> peak maxima </w:t>
      </w:r>
      <w:r>
        <w:t>being</w:t>
      </w:r>
      <w:r w:rsidR="00C0363F" w:rsidRPr="00C0363F">
        <w:t xml:space="preserve"> shifted and inaccurate. Students will have to play with this value enough to learn that, while it makes </w:t>
      </w:r>
      <w:r w:rsidR="0026325D">
        <w:t>the</w:t>
      </w:r>
      <w:r w:rsidR="00C0363F" w:rsidRPr="00C0363F">
        <w:t xml:space="preserve"> data prettier, it also </w:t>
      </w:r>
      <w:r>
        <w:t>makes your data less accurate. Therefore,</w:t>
      </w:r>
      <w:r w:rsidR="00C0363F" w:rsidRPr="00C0363F">
        <w:t xml:space="preserve"> it should be used sparingly.</w:t>
      </w:r>
    </w:p>
    <w:p w:rsidR="00EC3C36" w:rsidRDefault="00B94418" w:rsidP="00B94418">
      <w:pPr>
        <w:pStyle w:val="VSStep"/>
        <w:numPr>
          <w:ilvl w:val="1"/>
          <w:numId w:val="26"/>
        </w:numPr>
      </w:pPr>
      <w:r>
        <w:t>The second is</w:t>
      </w:r>
      <w:r w:rsidRPr="00C0363F">
        <w:t xml:space="preserve"> Samples to </w:t>
      </w:r>
      <w:r>
        <w:t>A</w:t>
      </w:r>
      <w:r w:rsidRPr="00C0363F">
        <w:t>verage</w:t>
      </w:r>
      <w:r>
        <w:t xml:space="preserve">. This </w:t>
      </w:r>
      <w:r w:rsidR="00C0363F" w:rsidRPr="00C0363F">
        <w:t xml:space="preserve">command sets the number of discrete spectral acquisitions that are accumulated before a spectrum is displayed. The higher the </w:t>
      </w:r>
      <w:r>
        <w:t xml:space="preserve">value, the better the signal to </w:t>
      </w:r>
      <w:r w:rsidR="00C0363F" w:rsidRPr="00C0363F">
        <w:t xml:space="preserve">noise ratio. The draw back here is that the more samples your students are averaging, the longer they are going to have to wait for a stable spectrum. </w:t>
      </w:r>
    </w:p>
    <w:p w:rsidR="00B94418" w:rsidRDefault="00B94418" w:rsidP="00B94418">
      <w:pPr>
        <w:pStyle w:val="VSHeadingsub1"/>
      </w:pPr>
      <w:r>
        <w:t xml:space="preserve">Part </w:t>
      </w:r>
      <w:proofErr w:type="gramStart"/>
      <w:r>
        <w:t>II  Obtaining</w:t>
      </w:r>
      <w:proofErr w:type="gramEnd"/>
      <w:r>
        <w:t xml:space="preserve"> an Fluorescence Spectrum</w:t>
      </w:r>
    </w:p>
    <w:p w:rsidR="00C0363F" w:rsidRPr="00C0363F" w:rsidRDefault="004E3BDD" w:rsidP="00AF40F2">
      <w:pPr>
        <w:pStyle w:val="VSStep"/>
      </w:pPr>
      <w:r>
        <w:t>The second part</w:t>
      </w:r>
      <w:r w:rsidR="00C0363F" w:rsidRPr="00C0363F">
        <w:t xml:space="preserve"> is intended for students who need to learn how to take fluorescence spectrometer data properly. This starts typically in organic chemistry, and extends into upper division courses such as inorganic, analytical, physical, biochemistry, molecular biology, and </w:t>
      </w:r>
      <w:r w:rsidR="00B94418">
        <w:t>several others.</w:t>
      </w:r>
    </w:p>
    <w:p w:rsidR="004E3BDD" w:rsidRDefault="004E3BDD" w:rsidP="004E3BDD">
      <w:pPr>
        <w:pStyle w:val="VSStep"/>
      </w:pPr>
      <w:r>
        <w:t>Students will s</w:t>
      </w:r>
      <w:r w:rsidR="00C0363F" w:rsidRPr="00C0363F">
        <w:t>tart with a sample of known concentration</w:t>
      </w:r>
      <w:r>
        <w:t>. This is important because</w:t>
      </w:r>
      <w:r w:rsidR="00C0363F" w:rsidRPr="00C0363F">
        <w:t xml:space="preserve"> fluorescence is very sensitive to concentration (as students will explore</w:t>
      </w:r>
      <w:r>
        <w:t xml:space="preserve"> in Part III</w:t>
      </w:r>
      <w:r w:rsidR="00C0363F" w:rsidRPr="00C0363F">
        <w:t>)</w:t>
      </w:r>
      <w:r>
        <w:t xml:space="preserve"> and </w:t>
      </w:r>
      <w:r w:rsidR="00C0363F" w:rsidRPr="00C0363F">
        <w:t xml:space="preserve">we want them to be successful with this part first. </w:t>
      </w:r>
      <w:r w:rsidR="00B23809">
        <w:t xml:space="preserve">Quinine stock solution (10 mg/L) is prepared </w:t>
      </w:r>
      <w:r w:rsidR="00B23809">
        <w:lastRenderedPageBreak/>
        <w:t>by weighing out 10 mg quinine sulfate</w:t>
      </w:r>
      <w:r>
        <w:t xml:space="preserve">. Transfer this to a 1 L volumetric flask, and dilute to mark with 0.1 M </w:t>
      </w:r>
      <w:r w:rsidR="00B23809">
        <w:t>H</w:t>
      </w:r>
      <w:r w:rsidR="00B23809" w:rsidRPr="00B23809">
        <w:rPr>
          <w:vertAlign w:val="subscript"/>
        </w:rPr>
        <w:t>2</w:t>
      </w:r>
      <w:r w:rsidR="00B23809">
        <w:t>SO</w:t>
      </w:r>
      <w:r w:rsidR="00B23809" w:rsidRPr="00B23809">
        <w:rPr>
          <w:vertAlign w:val="subscript"/>
        </w:rPr>
        <w:t>4</w:t>
      </w:r>
      <w:r>
        <w:t>. This solution is light sensitive, it is best to store it in a brown bottle</w:t>
      </w:r>
      <w:r w:rsidR="00B23809">
        <w:t xml:space="preserve"> away from light</w:t>
      </w:r>
      <w:r>
        <w:t xml:space="preserve">. </w:t>
      </w:r>
    </w:p>
    <w:p w:rsidR="0099764F" w:rsidRDefault="004E3BDD" w:rsidP="0099764F">
      <w:pPr>
        <w:pStyle w:val="VSStep"/>
      </w:pPr>
      <w:r>
        <w:t>The student instructions guide the students through taking an absorbance spectrum in order to determine which wavelength is appropriate to excite the sample first</w:t>
      </w:r>
      <w:r w:rsidR="00C0363F" w:rsidRPr="00C0363F">
        <w:t xml:space="preserve">. </w:t>
      </w:r>
      <w:r>
        <w:t xml:space="preserve">Then it sets them up for taking a fluorescence spectrum. Students may not understand why they are taking an absorbance spectrum first. An alternate approach is to have the students use the convenient LED-based excitation method to excite the sample with all available wavelengths. </w:t>
      </w:r>
    </w:p>
    <w:p w:rsidR="0099764F" w:rsidRDefault="0099764F" w:rsidP="0099764F">
      <w:pPr>
        <w:pStyle w:val="VSHeadingsub1"/>
      </w:pPr>
      <w:r>
        <w:t xml:space="preserve">Part </w:t>
      </w:r>
      <w:proofErr w:type="gramStart"/>
      <w:r>
        <w:t>III  Conducting</w:t>
      </w:r>
      <w:proofErr w:type="gramEnd"/>
      <w:r>
        <w:t xml:space="preserve"> a Fluorescence Experiment: Concentration</w:t>
      </w:r>
    </w:p>
    <w:p w:rsidR="00A44D79" w:rsidRDefault="0099764F" w:rsidP="00AF40F2">
      <w:pPr>
        <w:pStyle w:val="VSStep"/>
      </w:pPr>
      <w:r>
        <w:t xml:space="preserve">In this </w:t>
      </w:r>
      <w:r w:rsidR="0026325D">
        <w:t>part</w:t>
      </w:r>
      <w:r>
        <w:t xml:space="preserve"> of the experiment, s</w:t>
      </w:r>
      <w:r w:rsidRPr="0099764F">
        <w:t xml:space="preserve">tudents will have to prepare </w:t>
      </w:r>
      <w:r>
        <w:t>serial dilutions</w:t>
      </w:r>
      <w:r w:rsidR="0026325D">
        <w:t xml:space="preserve"> from a highly concentrated stock solution</w:t>
      </w:r>
      <w:r w:rsidRPr="0099764F">
        <w:t xml:space="preserve">. </w:t>
      </w:r>
      <w:r w:rsidR="00B23809">
        <w:t xml:space="preserve">Quinine stock solution (100 mg/L) is prepared by weighing out 100 mg </w:t>
      </w:r>
      <w:r w:rsidR="0026325D">
        <w:t xml:space="preserve">of </w:t>
      </w:r>
      <w:r w:rsidR="00B23809">
        <w:t>quinine sulfate. Transfer this to a 1 L volumetric flask, and dilute to</w:t>
      </w:r>
      <w:r w:rsidR="0026325D">
        <w:t xml:space="preserve"> the</w:t>
      </w:r>
      <w:r w:rsidR="00B23809">
        <w:t xml:space="preserve"> mark with 0.1 M H</w:t>
      </w:r>
      <w:r w:rsidR="00B23809" w:rsidRPr="00B23809">
        <w:rPr>
          <w:vertAlign w:val="subscript"/>
        </w:rPr>
        <w:t>2</w:t>
      </w:r>
      <w:r w:rsidR="00B23809">
        <w:t>SO</w:t>
      </w:r>
      <w:r w:rsidR="00B23809" w:rsidRPr="00B23809">
        <w:rPr>
          <w:vertAlign w:val="subscript"/>
        </w:rPr>
        <w:t>4</w:t>
      </w:r>
      <w:r w:rsidR="00B23809">
        <w:t xml:space="preserve">. This solution is light sensitive, it is best to store it in a brown bottle away from light. </w:t>
      </w:r>
      <w:r>
        <w:t>You</w:t>
      </w:r>
      <w:r w:rsidRPr="0099764F">
        <w:t xml:space="preserve"> can </w:t>
      </w:r>
      <w:r>
        <w:t xml:space="preserve">also </w:t>
      </w:r>
      <w:r w:rsidRPr="0099764F">
        <w:t xml:space="preserve">prepare </w:t>
      </w:r>
      <w:r w:rsidR="00B23809">
        <w:t>the serial dilutions for the students</w:t>
      </w:r>
      <w:r w:rsidRPr="0099764F">
        <w:t xml:space="preserve"> prior to the lab in order to save time, depending on the curriculum goal. </w:t>
      </w:r>
    </w:p>
    <w:p w:rsidR="00A44D79" w:rsidRDefault="0099764F" w:rsidP="00AF40F2">
      <w:pPr>
        <w:pStyle w:val="VSStep"/>
      </w:pPr>
      <w:r w:rsidRPr="0099764F">
        <w:t xml:space="preserve">Once they </w:t>
      </w:r>
      <w:r w:rsidR="001F2AE8">
        <w:t xml:space="preserve">have </w:t>
      </w:r>
      <w:r w:rsidRPr="0099764F">
        <w:t>set up their standards and determined the spectrometer parameters, they perform a gross calibration curve and observe the inner filter effect</w:t>
      </w:r>
      <w:r w:rsidR="00A44D79">
        <w:t>.</w:t>
      </w:r>
      <w:r w:rsidR="00B23809">
        <w:t xml:space="preserve"> Students should identify the linear region of the graph as having very low concentration samples.</w:t>
      </w:r>
    </w:p>
    <w:p w:rsidR="0099764F" w:rsidRPr="003757E3" w:rsidRDefault="00B23809" w:rsidP="00AF40F2">
      <w:pPr>
        <w:pStyle w:val="VSStep"/>
      </w:pPr>
      <w:r>
        <w:t>You can also have students verify that t</w:t>
      </w:r>
      <w:r w:rsidR="006F5CA7">
        <w:t xml:space="preserve">hese very low concentrations </w:t>
      </w:r>
      <w:r>
        <w:t>do not</w:t>
      </w:r>
      <w:r w:rsidR="006F5CA7">
        <w:t xml:space="preserve"> result in a</w:t>
      </w:r>
      <w:r>
        <w:t>n</w:t>
      </w:r>
      <w:r w:rsidR="006F5CA7">
        <w:t xml:space="preserve"> </w:t>
      </w:r>
      <w:r>
        <w:t>accurate</w:t>
      </w:r>
      <w:r w:rsidR="006F5CA7">
        <w:t xml:space="preserve"> absorbance spectrum, thus illustrating the immense sensitivity of a fluorescence </w:t>
      </w:r>
      <w:r w:rsidR="006F5CA7" w:rsidRPr="003757E3">
        <w:t>spectrometer.</w:t>
      </w:r>
    </w:p>
    <w:p w:rsidR="00C0363F" w:rsidRPr="003757E3" w:rsidRDefault="006F5CA7" w:rsidP="00AF40F2">
      <w:pPr>
        <w:pStyle w:val="VSStep"/>
      </w:pPr>
      <w:r w:rsidRPr="003757E3">
        <w:t xml:space="preserve">This part can also be performed with fluorescein. Since fluorescein is a colored solution, it will be obvious to students that only clear samples result in fluorescence emission in the linear region of concentration. </w:t>
      </w:r>
      <w:r w:rsidR="00A44D79" w:rsidRPr="003757E3">
        <w:t>While a clear sample is inadequate for giving an absorbance measurement, a</w:t>
      </w:r>
      <w:r w:rsidR="0099764F" w:rsidRPr="003757E3">
        <w:t xml:space="preserve"> clear</w:t>
      </w:r>
      <w:r w:rsidR="00A44D79" w:rsidRPr="003757E3">
        <w:t xml:space="preserve"> sample</w:t>
      </w:r>
      <w:r w:rsidR="0099764F" w:rsidRPr="003757E3">
        <w:t xml:space="preserve"> can still have a fluorescence measurement.</w:t>
      </w:r>
      <w:r w:rsidR="00B23809" w:rsidRPr="003757E3">
        <w:t xml:space="preserve"> The stock solution o</w:t>
      </w:r>
      <w:r w:rsidR="00AF40F2" w:rsidRPr="003757E3">
        <w:t xml:space="preserve">f fluorescein should be </w:t>
      </w:r>
      <w:r w:rsidR="003757E3" w:rsidRPr="003757E3">
        <w:t>1.2x10</w:t>
      </w:r>
      <w:r w:rsidR="003757E3" w:rsidRPr="003757E3">
        <w:rPr>
          <w:vertAlign w:val="superscript"/>
        </w:rPr>
        <w:t>-5</w:t>
      </w:r>
      <w:r w:rsidR="00AF40F2" w:rsidRPr="003757E3">
        <w:t xml:space="preserve"> M in 0.1</w:t>
      </w:r>
      <w:r w:rsidR="00B23809" w:rsidRPr="003757E3">
        <w:t xml:space="preserve"> M </w:t>
      </w:r>
      <w:proofErr w:type="spellStart"/>
      <w:r w:rsidR="00B23809" w:rsidRPr="003757E3">
        <w:t>NaOH</w:t>
      </w:r>
      <w:proofErr w:type="spellEnd"/>
      <w:r w:rsidR="00B23809" w:rsidRPr="003757E3">
        <w:t>.</w:t>
      </w:r>
    </w:p>
    <w:p w:rsidR="0099764F" w:rsidRPr="00C0363F" w:rsidRDefault="0099764F" w:rsidP="0099764F">
      <w:pPr>
        <w:pStyle w:val="VSHeadingsub1"/>
      </w:pPr>
      <w:r>
        <w:t xml:space="preserve">Part </w:t>
      </w:r>
      <w:proofErr w:type="gramStart"/>
      <w:r>
        <w:t>IV  Learning</w:t>
      </w:r>
      <w:proofErr w:type="gramEnd"/>
      <w:r>
        <w:t xml:space="preserve"> about Molecules with Fluorescence Spectroscopy</w:t>
      </w:r>
    </w:p>
    <w:p w:rsidR="00B23809" w:rsidRDefault="006F5CA7" w:rsidP="00AF40F2">
      <w:pPr>
        <w:pStyle w:val="VSStep"/>
      </w:pPr>
      <w:r w:rsidRPr="006F5CA7">
        <w:t xml:space="preserve">The next two extensions are designed for students that are ready to learn about molecules using fluorescence spectroscopy. </w:t>
      </w:r>
    </w:p>
    <w:p w:rsidR="00B23809" w:rsidRDefault="006F5CA7" w:rsidP="00AF40F2">
      <w:pPr>
        <w:pStyle w:val="VSStep"/>
      </w:pPr>
      <w:r w:rsidRPr="006F5CA7">
        <w:t>The first example is pH dependent fluorescence. This is incredibly important in biological studies. Students need to be able to pick fluorescent probes that will work at the pH of their biological system. So they need to understand th</w:t>
      </w:r>
      <w:r w:rsidR="00B23809">
        <w:t>at</w:t>
      </w:r>
      <w:r w:rsidRPr="006F5CA7">
        <w:t xml:space="preserve"> fluorescence </w:t>
      </w:r>
      <w:r w:rsidR="00B23809">
        <w:t xml:space="preserve">emission </w:t>
      </w:r>
      <w:r w:rsidRPr="006F5CA7">
        <w:t xml:space="preserve">can vary with </w:t>
      </w:r>
      <w:proofErr w:type="spellStart"/>
      <w:r w:rsidRPr="006F5CA7">
        <w:t>pH.</w:t>
      </w:r>
      <w:proofErr w:type="spellEnd"/>
      <w:r w:rsidRPr="006F5CA7">
        <w:t xml:space="preserve"> </w:t>
      </w:r>
      <w:r w:rsidR="00B23809">
        <w:t xml:space="preserve">To simplify the pH dependence of quinine, you can have buffers available for the students to make their samples. Also, </w:t>
      </w:r>
      <w:proofErr w:type="gramStart"/>
      <w:r w:rsidR="00B23809">
        <w:t>titrating</w:t>
      </w:r>
      <w:proofErr w:type="gramEnd"/>
      <w:r w:rsidR="00B23809">
        <w:t xml:space="preserve"> the sample while it is in the instrument and measuring the pH afterwards is an easy and illustrative way to collect this data quickly. </w:t>
      </w:r>
    </w:p>
    <w:p w:rsidR="00696780" w:rsidRDefault="00B23809" w:rsidP="009D2F7C">
      <w:pPr>
        <w:pStyle w:val="VSStep"/>
        <w:numPr>
          <w:ilvl w:val="0"/>
          <w:numId w:val="6"/>
        </w:numPr>
      </w:pPr>
      <w:r>
        <w:t>The second is h</w:t>
      </w:r>
      <w:r w:rsidR="006F5CA7" w:rsidRPr="006F5CA7">
        <w:t>eavy atom quenching studies</w:t>
      </w:r>
      <w:r>
        <w:t>. These</w:t>
      </w:r>
      <w:r w:rsidR="006F5CA7" w:rsidRPr="006F5CA7">
        <w:t xml:space="preserve"> are most appropriate for a physical chemistry level curriculum where you discuss excited state dynamics and radiative decay. Heavy atom quenching experiments along with the Stern-</w:t>
      </w:r>
      <w:proofErr w:type="spellStart"/>
      <w:r w:rsidR="006F5CA7" w:rsidRPr="006F5CA7">
        <w:t>Volmer</w:t>
      </w:r>
      <w:proofErr w:type="spellEnd"/>
      <w:r w:rsidR="006F5CA7" w:rsidRPr="006F5CA7">
        <w:t xml:space="preserve"> plot can allow you to calculate the binding constant for the quencher and the fluorophore in the excited state</w:t>
      </w:r>
      <w:r w:rsidR="006F5CA7">
        <w:t>.</w:t>
      </w:r>
      <w:r>
        <w:t xml:space="preserve"> </w:t>
      </w:r>
      <w:r w:rsidR="00696780">
        <w:t xml:space="preserve">To simplify the halide dependence of </w:t>
      </w:r>
      <w:r w:rsidR="006F5CA7">
        <w:t>quinine</w:t>
      </w:r>
      <w:r w:rsidR="00DC6DF5">
        <w:t xml:space="preserve"> </w:t>
      </w:r>
      <w:r w:rsidR="00696780">
        <w:t xml:space="preserve">extension, have available 0.1 M </w:t>
      </w:r>
      <w:proofErr w:type="spellStart"/>
      <w:r w:rsidR="00696780">
        <w:t>KBr</w:t>
      </w:r>
      <w:proofErr w:type="spellEnd"/>
      <w:r w:rsidR="00696780">
        <w:t xml:space="preserve"> for the students to make their samples. </w:t>
      </w:r>
    </w:p>
    <w:p w:rsidR="00DC6DF5" w:rsidRDefault="00DC6DF5" w:rsidP="004B1FD6">
      <w:pPr>
        <w:pStyle w:val="VSHeadingPrime"/>
      </w:pPr>
      <w:r>
        <w:lastRenderedPageBreak/>
        <w:t>MATERIALS</w:t>
      </w:r>
    </w:p>
    <w:p w:rsidR="00672AEA" w:rsidRDefault="00672AEA" w:rsidP="00672AEA">
      <w:pPr>
        <w:pStyle w:val="VSHeadingsub1"/>
      </w:pPr>
      <w:r>
        <w:t xml:space="preserve">Part </w:t>
      </w:r>
      <w:proofErr w:type="gramStart"/>
      <w:r>
        <w:t>I  Operating</w:t>
      </w:r>
      <w:proofErr w:type="gramEnd"/>
      <w:r>
        <w:t xml:space="preserve"> a Spectrometer: Exploring the Instrument</w:t>
      </w:r>
    </w:p>
    <w:p w:rsidR="00672AEA" w:rsidRDefault="00672AEA" w:rsidP="00672AEA">
      <w:pPr>
        <w:pStyle w:val="VSMaterialslistitem"/>
      </w:pPr>
      <w:proofErr w:type="spellStart"/>
      <w:r>
        <w:t>LabQuest</w:t>
      </w:r>
      <w:proofErr w:type="spellEnd"/>
      <w:r>
        <w:t xml:space="preserve"> or computer </w:t>
      </w:r>
    </w:p>
    <w:p w:rsidR="00672AEA" w:rsidRDefault="00672AEA" w:rsidP="00672AEA">
      <w:pPr>
        <w:pStyle w:val="VSMaterialslistitem"/>
      </w:pPr>
      <w:proofErr w:type="spellStart"/>
      <w:r>
        <w:t>LabQuest</w:t>
      </w:r>
      <w:proofErr w:type="spellEnd"/>
      <w:r>
        <w:t xml:space="preserve"> App or Logger </w:t>
      </w:r>
      <w:r>
        <w:rPr>
          <w:i/>
        </w:rPr>
        <w:t>Pro</w:t>
      </w:r>
    </w:p>
    <w:p w:rsidR="00672AEA" w:rsidRDefault="00672AEA" w:rsidP="00672AEA">
      <w:pPr>
        <w:pStyle w:val="VSMaterialslistitem"/>
      </w:pPr>
      <w:r>
        <w:t>Vernier Fluorescence/UV-VIS Spectrophotometer</w:t>
      </w:r>
    </w:p>
    <w:p w:rsidR="00672AEA" w:rsidRDefault="00672AEA" w:rsidP="00672AEA">
      <w:pPr>
        <w:pStyle w:val="VSHeadingsub1"/>
      </w:pPr>
      <w:r>
        <w:t xml:space="preserve">Part </w:t>
      </w:r>
      <w:proofErr w:type="gramStart"/>
      <w:r>
        <w:t>II  Obtaining</w:t>
      </w:r>
      <w:proofErr w:type="gramEnd"/>
      <w:r>
        <w:t xml:space="preserve"> an Fluorescence Spectrum</w:t>
      </w:r>
    </w:p>
    <w:p w:rsidR="00672AEA" w:rsidRDefault="00672AEA" w:rsidP="00672AEA">
      <w:pPr>
        <w:pStyle w:val="VSMaterialslistitem"/>
      </w:pPr>
      <w:proofErr w:type="gramStart"/>
      <w:r>
        <w:t>materials</w:t>
      </w:r>
      <w:proofErr w:type="gramEnd"/>
      <w:r>
        <w:t xml:space="preserve"> from Part I</w:t>
      </w:r>
    </w:p>
    <w:p w:rsidR="00672AEA" w:rsidRDefault="00672AEA" w:rsidP="00672AEA">
      <w:pPr>
        <w:pStyle w:val="VSMaterialslistitem"/>
      </w:pPr>
      <w:proofErr w:type="gramStart"/>
      <w:r>
        <w:t>fluorescence</w:t>
      </w:r>
      <w:proofErr w:type="gramEnd"/>
      <w:r>
        <w:t xml:space="preserve"> quartz cuvette </w:t>
      </w:r>
    </w:p>
    <w:p w:rsidR="00672AEA" w:rsidRDefault="00672AEA" w:rsidP="00672AEA">
      <w:pPr>
        <w:pStyle w:val="VSMaterialslistitem"/>
      </w:pPr>
      <w:r>
        <w:t>375 nm, 450 nm, and 525 nm LEDs</w:t>
      </w:r>
    </w:p>
    <w:p w:rsidR="00672AEA" w:rsidRDefault="00672AEA" w:rsidP="00672AEA">
      <w:pPr>
        <w:pStyle w:val="VSMaterialslistitem"/>
      </w:pPr>
      <w:proofErr w:type="gramStart"/>
      <w:r>
        <w:t>quinine</w:t>
      </w:r>
      <w:proofErr w:type="gramEnd"/>
      <w:r>
        <w:t xml:space="preserve"> solution (10 mg/L in 0.1 M H</w:t>
      </w:r>
      <w:r w:rsidRPr="00553DA5">
        <w:rPr>
          <w:vertAlign w:val="subscript"/>
        </w:rPr>
        <w:t>2</w:t>
      </w:r>
      <w:r>
        <w:t>SO</w:t>
      </w:r>
      <w:r w:rsidRPr="00553DA5">
        <w:rPr>
          <w:vertAlign w:val="subscript"/>
        </w:rPr>
        <w:t>4</w:t>
      </w:r>
      <w:r>
        <w:t>)</w:t>
      </w:r>
    </w:p>
    <w:p w:rsidR="00672AEA" w:rsidRDefault="00672AEA" w:rsidP="00672AEA">
      <w:pPr>
        <w:pStyle w:val="VSMaterialslistitem"/>
      </w:pPr>
      <w:r>
        <w:t>H</w:t>
      </w:r>
      <w:r w:rsidRPr="00553DA5">
        <w:rPr>
          <w:vertAlign w:val="subscript"/>
        </w:rPr>
        <w:t>2</w:t>
      </w:r>
      <w:r>
        <w:t>SO</w:t>
      </w:r>
      <w:r w:rsidRPr="00553DA5">
        <w:rPr>
          <w:vertAlign w:val="subscript"/>
        </w:rPr>
        <w:t>4</w:t>
      </w:r>
      <w:r>
        <w:t xml:space="preserve"> (0.1 M)</w:t>
      </w:r>
    </w:p>
    <w:p w:rsidR="00672AEA" w:rsidRDefault="00672AEA" w:rsidP="00672AEA">
      <w:pPr>
        <w:pStyle w:val="VSHeadingsub1"/>
      </w:pPr>
      <w:r>
        <w:t xml:space="preserve">Part </w:t>
      </w:r>
      <w:proofErr w:type="gramStart"/>
      <w:r>
        <w:t>III  Conducting</w:t>
      </w:r>
      <w:proofErr w:type="gramEnd"/>
      <w:r>
        <w:t xml:space="preserve"> a Fluorescence Experiment: Concentration</w:t>
      </w:r>
    </w:p>
    <w:p w:rsidR="00672AEA" w:rsidRDefault="00672AEA" w:rsidP="00672AEA">
      <w:pPr>
        <w:pStyle w:val="VSMaterialslistitem"/>
      </w:pPr>
      <w:proofErr w:type="gramStart"/>
      <w:r>
        <w:t>materials</w:t>
      </w:r>
      <w:proofErr w:type="gramEnd"/>
      <w:r>
        <w:t xml:space="preserve"> from Part II</w:t>
      </w:r>
    </w:p>
    <w:p w:rsidR="00672AEA" w:rsidRDefault="00672AEA" w:rsidP="00672AEA">
      <w:pPr>
        <w:pStyle w:val="VSMaterialslistitem"/>
      </w:pPr>
      <w:proofErr w:type="gramStart"/>
      <w:r>
        <w:t>quinine</w:t>
      </w:r>
      <w:proofErr w:type="gramEnd"/>
      <w:r>
        <w:t xml:space="preserve"> solution (100 mg/L in 0.1 M H</w:t>
      </w:r>
      <w:r w:rsidRPr="00553DA5">
        <w:rPr>
          <w:vertAlign w:val="subscript"/>
        </w:rPr>
        <w:t>2</w:t>
      </w:r>
      <w:r>
        <w:t>SO</w:t>
      </w:r>
      <w:r w:rsidRPr="00553DA5">
        <w:rPr>
          <w:vertAlign w:val="subscript"/>
        </w:rPr>
        <w:t>4</w:t>
      </w:r>
      <w:r>
        <w:t>)</w:t>
      </w:r>
    </w:p>
    <w:p w:rsidR="00672AEA" w:rsidRDefault="00672AEA" w:rsidP="00672AEA">
      <w:pPr>
        <w:pStyle w:val="VSMaterialslistitem"/>
      </w:pPr>
      <w:r>
        <w:t>H</w:t>
      </w:r>
      <w:r w:rsidRPr="00553DA5">
        <w:rPr>
          <w:vertAlign w:val="subscript"/>
        </w:rPr>
        <w:t>2</w:t>
      </w:r>
      <w:r>
        <w:t>SO</w:t>
      </w:r>
      <w:r w:rsidRPr="00553DA5">
        <w:rPr>
          <w:vertAlign w:val="subscript"/>
        </w:rPr>
        <w:t>4</w:t>
      </w:r>
      <w:r>
        <w:t xml:space="preserve"> (0.1 M)</w:t>
      </w:r>
    </w:p>
    <w:p w:rsidR="00672AEA" w:rsidRDefault="00672AEA" w:rsidP="00672AEA">
      <w:pPr>
        <w:pStyle w:val="VSHeadingsub1"/>
      </w:pPr>
      <w:r>
        <w:t xml:space="preserve">Part </w:t>
      </w:r>
      <w:proofErr w:type="gramStart"/>
      <w:r>
        <w:t>IV  Learning</w:t>
      </w:r>
      <w:proofErr w:type="gramEnd"/>
      <w:r>
        <w:t xml:space="preserve"> about Molecules with Fluorescence Spectroscopy</w:t>
      </w:r>
    </w:p>
    <w:p w:rsidR="00672AEA" w:rsidRDefault="00672AEA" w:rsidP="00672AEA">
      <w:pPr>
        <w:pStyle w:val="VSMaterialslistitem"/>
      </w:pPr>
      <w:proofErr w:type="gramStart"/>
      <w:r>
        <w:t>materials</w:t>
      </w:r>
      <w:proofErr w:type="gramEnd"/>
      <w:r>
        <w:t xml:space="preserve"> from Part II</w:t>
      </w:r>
    </w:p>
    <w:p w:rsidR="00672AEA" w:rsidRDefault="00672AEA" w:rsidP="00672AEA">
      <w:pPr>
        <w:pStyle w:val="VSMaterialslistitem"/>
      </w:pPr>
      <w:proofErr w:type="gramStart"/>
      <w:r>
        <w:t>buffer</w:t>
      </w:r>
      <w:proofErr w:type="gramEnd"/>
      <w:r>
        <w:t xml:space="preserve"> solutions at pH 2, 3, 4, 5, 6, 7</w:t>
      </w:r>
    </w:p>
    <w:p w:rsidR="00672AEA" w:rsidRDefault="00672AEA" w:rsidP="00672AEA">
      <w:pPr>
        <w:pStyle w:val="VSMaterialslistitem"/>
      </w:pPr>
      <w:r>
        <w:t xml:space="preserve">0.1 M </w:t>
      </w:r>
      <w:proofErr w:type="spellStart"/>
      <w:r>
        <w:t>KBr</w:t>
      </w:r>
      <w:proofErr w:type="spellEnd"/>
    </w:p>
    <w:p w:rsidR="00DC6DF5" w:rsidRDefault="00DC6DF5" w:rsidP="004B1FD6">
      <w:pPr>
        <w:pStyle w:val="VSHeadingPrime"/>
      </w:pPr>
    </w:p>
    <w:p w:rsidR="00DC6DF5" w:rsidRDefault="00DC6DF5" w:rsidP="004B1FD6">
      <w:pPr>
        <w:pStyle w:val="VSHeadingPrime"/>
      </w:pPr>
      <w:r>
        <w:t>HAZARD ALERTS</w:t>
      </w:r>
    </w:p>
    <w:p w:rsidR="001709B4" w:rsidRDefault="001709B4" w:rsidP="00DC6DF5">
      <w:pPr>
        <w:pStyle w:val="VSParagraphText0"/>
      </w:pPr>
      <w:r>
        <w:t>The chemical safety signal words used in this experiment (DANGER, WARNING, and N/A) are part of the Globally Harmonized System of Classification and labeling of Chemicals (GHS). Refer to the Safety Data Sheet (SDS) that came with the chemical for proper handling, storage, and disposal information. The SDS can also be found online from the manufacturer.</w:t>
      </w:r>
    </w:p>
    <w:p w:rsidR="00DC6DF5" w:rsidRDefault="001709B4" w:rsidP="00DC6DF5">
      <w:pPr>
        <w:pStyle w:val="VSParagraphText0"/>
      </w:pPr>
      <w:r>
        <w:t>Sulfuric acid, 0.1 M, H</w:t>
      </w:r>
      <w:r>
        <w:rPr>
          <w:vertAlign w:val="subscript"/>
        </w:rPr>
        <w:t>2</w:t>
      </w:r>
      <w:r>
        <w:t>SO</w:t>
      </w:r>
      <w:r>
        <w:rPr>
          <w:vertAlign w:val="subscript"/>
        </w:rPr>
        <w:t>4</w:t>
      </w:r>
      <w:r>
        <w:t>: </w:t>
      </w:r>
      <w:r>
        <w:rPr>
          <w:b/>
          <w:bCs/>
        </w:rPr>
        <w:t>WARNING</w:t>
      </w:r>
      <w:r>
        <w:t>: Causes skin and serious eye irritation</w:t>
      </w:r>
      <w:r w:rsidR="00DC6DF5">
        <w:t>.</w:t>
      </w:r>
    </w:p>
    <w:p w:rsidR="00D04BA5" w:rsidRDefault="00D04BA5" w:rsidP="00D04BA5">
      <w:pPr>
        <w:pStyle w:val="VSHeadingPrime"/>
        <w:keepNext/>
      </w:pPr>
      <w:r>
        <w:t>ANALYZING RESULTS</w:t>
      </w:r>
    </w:p>
    <w:p w:rsidR="00D04BA5" w:rsidRDefault="00D04BA5" w:rsidP="00D04BA5">
      <w:pPr>
        <w:pStyle w:val="VSHeadingsub1"/>
      </w:pPr>
      <w:r>
        <w:t xml:space="preserve">Part </w:t>
      </w:r>
      <w:proofErr w:type="gramStart"/>
      <w:r>
        <w:t>I  Operating</w:t>
      </w:r>
      <w:proofErr w:type="gramEnd"/>
      <w:r>
        <w:t xml:space="preserve"> a Spectrometer: Exploring the Instrument</w:t>
      </w:r>
    </w:p>
    <w:p w:rsidR="00D04BA5" w:rsidRDefault="00D221CE" w:rsidP="00D04BA5">
      <w:pPr>
        <w:pStyle w:val="VSStep"/>
        <w:numPr>
          <w:ilvl w:val="0"/>
          <w:numId w:val="13"/>
        </w:numPr>
      </w:pPr>
      <w:r>
        <w:t>As this value is</w:t>
      </w:r>
      <w:r w:rsidRPr="00C0363F">
        <w:t xml:space="preserve"> increase</w:t>
      </w:r>
      <w:r>
        <w:t>d, the signal increases. As this value is</w:t>
      </w:r>
      <w:r w:rsidRPr="00C0363F">
        <w:t xml:space="preserve"> </w:t>
      </w:r>
      <w:r>
        <w:t>decreased, the signal decreases. The Sample Time</w:t>
      </w:r>
      <w:r w:rsidRPr="00C0363F">
        <w:t xml:space="preserve"> is the time that the individual diodes (pixels) in the array are allowed to respond to light before they are “read out” and reset to zero. They respond linearly to light </w:t>
      </w:r>
      <w:r>
        <w:t xml:space="preserve">until they approach saturation. </w:t>
      </w:r>
    </w:p>
    <w:p w:rsidR="00D04BA5" w:rsidRDefault="00D221CE" w:rsidP="00D04BA5">
      <w:pPr>
        <w:pStyle w:val="VSStep"/>
        <w:numPr>
          <w:ilvl w:val="0"/>
          <w:numId w:val="13"/>
        </w:numPr>
      </w:pPr>
      <w:r>
        <w:t xml:space="preserve">This </w:t>
      </w:r>
      <w:r w:rsidRPr="00C0363F">
        <w:t xml:space="preserve">command sets the number of discrete spectral acquisitions that are accumulated before a spectrum is displayed. The higher the </w:t>
      </w:r>
      <w:r>
        <w:t xml:space="preserve">value, the better the signal to </w:t>
      </w:r>
      <w:r w:rsidRPr="00C0363F">
        <w:t>noise ratio. The draw back here is that the more samples your students are averaging, the longer they are going to have to wait for a stable spectrum</w:t>
      </w:r>
      <w:r w:rsidR="00D04BA5">
        <w:t>.</w:t>
      </w:r>
    </w:p>
    <w:p w:rsidR="00D04BA5" w:rsidRDefault="00D221CE" w:rsidP="00D04BA5">
      <w:pPr>
        <w:pStyle w:val="VSStep"/>
        <w:numPr>
          <w:ilvl w:val="0"/>
          <w:numId w:val="6"/>
        </w:numPr>
      </w:pPr>
      <w:r w:rsidRPr="00C0363F">
        <w:t>Wave</w:t>
      </w:r>
      <w:r>
        <w:t xml:space="preserve">length </w:t>
      </w:r>
      <w:r w:rsidR="006F26E1">
        <w:t>S</w:t>
      </w:r>
      <w:r w:rsidR="006F26E1" w:rsidRPr="00C0363F">
        <w:t>moothing</w:t>
      </w:r>
      <w:r w:rsidR="006F26E1">
        <w:t xml:space="preserve"> performs</w:t>
      </w:r>
      <w:r w:rsidRPr="00C0363F">
        <w:t xml:space="preserve"> a boxcar average</w:t>
      </w:r>
      <w:r>
        <w:t xml:space="preserve"> over </w:t>
      </w:r>
      <w:r w:rsidRPr="00C0363F">
        <w:t>adjacent detector elements. A value of 5, for example, average each data point with 5 points to its left and 5 points to its right. The greater this value, the smoother</w:t>
      </w:r>
      <w:r>
        <w:t xml:space="preserve"> the data and the higher the signal to noise</w:t>
      </w:r>
      <w:r w:rsidRPr="00C0363F">
        <w:t xml:space="preserve"> ratio. If the value entered is too high, a loss in spectral resolution will result. </w:t>
      </w:r>
      <w:r>
        <w:t>This can result in the</w:t>
      </w:r>
      <w:r w:rsidRPr="00C0363F">
        <w:t xml:space="preserve"> peak maxima </w:t>
      </w:r>
      <w:r>
        <w:t>being</w:t>
      </w:r>
      <w:r w:rsidRPr="00C0363F">
        <w:t xml:space="preserve"> shifted and inaccurate. Students will have to play with this value enough to learn that, while it makes your data prettier, it also </w:t>
      </w:r>
      <w:r>
        <w:t>makes your data less accurate. Therefore,</w:t>
      </w:r>
      <w:r w:rsidRPr="00C0363F">
        <w:t xml:space="preserve"> it should be used sparingly</w:t>
      </w:r>
      <w:r w:rsidR="00D04BA5">
        <w:t xml:space="preserve">. </w:t>
      </w:r>
    </w:p>
    <w:p w:rsidR="006F26E1" w:rsidRDefault="006F26E1" w:rsidP="006F26E1">
      <w:pPr>
        <w:pStyle w:val="VSHeadingsub1"/>
      </w:pPr>
      <w:r>
        <w:lastRenderedPageBreak/>
        <w:t xml:space="preserve">Part </w:t>
      </w:r>
      <w:proofErr w:type="gramStart"/>
      <w:r>
        <w:t>II  Obtaining</w:t>
      </w:r>
      <w:proofErr w:type="gramEnd"/>
      <w:r>
        <w:t xml:space="preserve"> an Fluorescence Spectrum</w:t>
      </w:r>
    </w:p>
    <w:p w:rsidR="006F26E1" w:rsidRDefault="001709B4" w:rsidP="006F26E1">
      <w:pPr>
        <w:pStyle w:val="VSStep"/>
        <w:numPr>
          <w:ilvl w:val="0"/>
          <w:numId w:val="33"/>
        </w:numPr>
      </w:pPr>
      <w:r>
        <w:t xml:space="preserve">There will be two common answers for this question. First, the absorbance spectrum </w:t>
      </w:r>
      <w:r w:rsidR="0053374C">
        <w:t xml:space="preserve">was used </w:t>
      </w:r>
      <w:r>
        <w:t xml:space="preserve">to determine the </w:t>
      </w:r>
      <w:r w:rsidR="0053374C">
        <w:t xml:space="preserve">wavelength of maximum absorbance. Exciting the sample at this wavelength will result in the most efficient fluorescence emission. Second, utilizing the various LEDs available, it was determined that only one LED produced an adequate fluorescence emission. In comparing this information to the absorbance spectrum, I determined that this LED wavelength is closest to the wavelength of maximum absorbance. These two factors are related via the Jablonski diagram and result in a value distinct to a compound, the Stokes shift. </w:t>
      </w:r>
    </w:p>
    <w:p w:rsidR="006F26E1" w:rsidRDefault="0053374C" w:rsidP="006F26E1">
      <w:pPr>
        <w:pStyle w:val="VSStep"/>
        <w:numPr>
          <w:ilvl w:val="0"/>
          <w:numId w:val="13"/>
        </w:numPr>
      </w:pPr>
      <w:r>
        <w:t xml:space="preserve">It is a quick way to observe the Stokes shift. </w:t>
      </w:r>
    </w:p>
    <w:p w:rsidR="006F26E1" w:rsidRDefault="0053374C" w:rsidP="006F26E1">
      <w:pPr>
        <w:pStyle w:val="VSStep"/>
        <w:numPr>
          <w:ilvl w:val="0"/>
          <w:numId w:val="13"/>
        </w:numPr>
      </w:pPr>
      <w:r>
        <w:t>No, the LED wavelengths provided did not overlap with the absorbance spectrum and, therefore, did not result in fluorescence emission.</w:t>
      </w:r>
    </w:p>
    <w:p w:rsidR="006F26E1" w:rsidRDefault="0053374C" w:rsidP="006F26E1">
      <w:pPr>
        <w:pStyle w:val="VSStep"/>
        <w:numPr>
          <w:ilvl w:val="0"/>
          <w:numId w:val="13"/>
        </w:numPr>
      </w:pPr>
      <w:r>
        <w:t>F</w:t>
      </w:r>
      <w:r w:rsidR="006F26E1">
        <w:t>luorescence emission</w:t>
      </w:r>
      <w:r>
        <w:t xml:space="preserve"> increased as</w:t>
      </w:r>
      <w:r w:rsidR="006F26E1">
        <w:t xml:space="preserve"> </w:t>
      </w:r>
      <w:r>
        <w:t>the excitation intensity</w:t>
      </w:r>
      <w:r w:rsidR="006F26E1">
        <w:t xml:space="preserve"> increased.</w:t>
      </w:r>
    </w:p>
    <w:p w:rsidR="006F26E1" w:rsidRDefault="006F26E1" w:rsidP="006F26E1">
      <w:pPr>
        <w:pStyle w:val="VSHeadingsub1"/>
      </w:pPr>
      <w:r>
        <w:t xml:space="preserve">Part III  Conducting a </w:t>
      </w:r>
      <w:bookmarkStart w:id="0" w:name="_GoBack"/>
      <w:bookmarkEnd w:id="0"/>
      <w:r>
        <w:t>Fluorescence Experiment: Concentration</w:t>
      </w:r>
    </w:p>
    <w:p w:rsidR="006F26E1" w:rsidRDefault="0053374C" w:rsidP="006F26E1">
      <w:pPr>
        <w:pStyle w:val="VSStep"/>
        <w:numPr>
          <w:ilvl w:val="0"/>
          <w:numId w:val="34"/>
        </w:numPr>
      </w:pPr>
      <w:r>
        <w:t xml:space="preserve">Above 20 mg/L quinine, the fluorescence stopped increasing and, by 100 mg/L, actually started to go back down. This is due to the inner filter effect. </w:t>
      </w:r>
      <w:r w:rsidRPr="0053374C">
        <w:t xml:space="preserve">The inner filter effect results in an apparent decrease in emission quantum yield and/or distortion of </w:t>
      </w:r>
      <w:proofErr w:type="spellStart"/>
      <w:r w:rsidRPr="0053374C">
        <w:t>bandshape</w:t>
      </w:r>
      <w:proofErr w:type="spellEnd"/>
      <w:r w:rsidRPr="0053374C">
        <w:t xml:space="preserve"> as a result of reabsorption of emitted radiation. To avoid this, it is best to perform fluorescence measurements on samples that have an absorbance below 0.1.</w:t>
      </w:r>
    </w:p>
    <w:p w:rsidR="006F26E1" w:rsidRDefault="0053374C" w:rsidP="006F26E1">
      <w:pPr>
        <w:pStyle w:val="VSStep"/>
        <w:numPr>
          <w:ilvl w:val="0"/>
          <w:numId w:val="13"/>
        </w:numPr>
      </w:pPr>
      <w:r>
        <w:t xml:space="preserve">10 mg/L allowed the most versatility in spectrometer settings for the different experiment types we explored. However, anything between 2 mg/L and 20 mg/L quinine would be appropriate. </w:t>
      </w:r>
    </w:p>
    <w:p w:rsidR="006F26E1" w:rsidRDefault="006F26E1" w:rsidP="006F26E1">
      <w:pPr>
        <w:pStyle w:val="VSHeadingsub1"/>
      </w:pPr>
      <w:r>
        <w:t xml:space="preserve">Part </w:t>
      </w:r>
      <w:proofErr w:type="gramStart"/>
      <w:r>
        <w:t>IV  Learning</w:t>
      </w:r>
      <w:proofErr w:type="gramEnd"/>
      <w:r>
        <w:t xml:space="preserve"> about Molecules with Fluorescence Spectroscopy</w:t>
      </w:r>
    </w:p>
    <w:p w:rsidR="006F26E1" w:rsidRDefault="0053374C" w:rsidP="006F26E1">
      <w:pPr>
        <w:pStyle w:val="VSStep"/>
        <w:numPr>
          <w:ilvl w:val="0"/>
          <w:numId w:val="35"/>
        </w:numPr>
      </w:pPr>
      <w:r>
        <w:t xml:space="preserve">The strongest emission was given at pH </w:t>
      </w:r>
      <w:proofErr w:type="gramStart"/>
      <w:r>
        <w:t>2,</w:t>
      </w:r>
      <w:proofErr w:type="gramEnd"/>
      <w:r>
        <w:t xml:space="preserve"> this is not unexpected since we are diluting the sample in sulfuric acid. </w:t>
      </w:r>
      <w:r w:rsidR="00514A6B">
        <w:t>As we increased the pH, the fluorescence emission decreased until there was none left at pH 7</w:t>
      </w:r>
      <w:r w:rsidR="006F26E1">
        <w:t>.</w:t>
      </w:r>
      <w:r w:rsidR="00514A6B">
        <w:t xml:space="preserve"> This is an important observation because biological samples are highly pH dependent and it is common to measure fluorescence of biological samples. </w:t>
      </w:r>
    </w:p>
    <w:p w:rsidR="006F26E1" w:rsidRDefault="00F12998" w:rsidP="006F26E1">
      <w:pPr>
        <w:pStyle w:val="VSStep"/>
        <w:numPr>
          <w:ilvl w:val="0"/>
          <w:numId w:val="6"/>
        </w:numPr>
      </w:pPr>
      <w:r>
        <w:t>As the halide concentration increased, the fluorescence emission decreased</w:t>
      </w:r>
      <w:r w:rsidR="006F26E1">
        <w:t xml:space="preserve">. </w:t>
      </w:r>
      <w:r>
        <w:t>This is a common phenomenon known as heavy atom quenching. It is a useful tool when studying excited state dynamics. If I graph the intensity versus the concentration in a Stern-</w:t>
      </w:r>
      <w:proofErr w:type="spellStart"/>
      <w:r>
        <w:t>Volmer</w:t>
      </w:r>
      <w:proofErr w:type="spellEnd"/>
      <w:r>
        <w:t xml:space="preserve"> plot, the linear fit can give me the excited state binding constant which can be used to calculate the excited state lifetime of the fluorophore. </w:t>
      </w:r>
    </w:p>
    <w:p w:rsidR="00A44D79" w:rsidRDefault="00A44D79">
      <w:pPr>
        <w:rPr>
          <w:rFonts w:ascii="Arial" w:hAnsi="Arial" w:cs="Arial"/>
          <w:b/>
          <w:caps/>
          <w:sz w:val="28"/>
          <w:szCs w:val="28"/>
        </w:rPr>
      </w:pPr>
      <w:r>
        <w:br w:type="page"/>
      </w:r>
    </w:p>
    <w:p w:rsidR="004B1FD6" w:rsidRDefault="004B1FD6" w:rsidP="004B1FD6">
      <w:pPr>
        <w:pStyle w:val="VSHeadingPrime"/>
      </w:pPr>
      <w:r>
        <w:lastRenderedPageBreak/>
        <w:t>Sample Data</w:t>
      </w:r>
    </w:p>
    <w:p w:rsidR="00A44D79" w:rsidRDefault="00A44D79" w:rsidP="00A44D79">
      <w:pPr>
        <w:pStyle w:val="VSHeadingsub1"/>
      </w:pPr>
      <w:r>
        <w:t xml:space="preserve">Part </w:t>
      </w:r>
      <w:proofErr w:type="gramStart"/>
      <w:r>
        <w:t>I  Operating</w:t>
      </w:r>
      <w:proofErr w:type="gramEnd"/>
      <w:r>
        <w:t xml:space="preserve"> a Spectrometer: Exploring the Instrument</w:t>
      </w:r>
    </w:p>
    <w:p w:rsidR="00A44D79" w:rsidRDefault="002225B1" w:rsidP="00A44D79">
      <w:pPr>
        <w:pStyle w:val="VSFigurelabel"/>
        <w:keepNext/>
      </w:pPr>
      <w:r w:rsidRPr="002225B1">
        <w:rPr>
          <w:i w:val="0"/>
          <w:noProof/>
        </w:rPr>
        <w:drawing>
          <wp:inline distT="0" distB="0" distL="0" distR="0" wp14:anchorId="6284FFC4" wp14:editId="2354DC92">
            <wp:extent cx="3510633" cy="2194560"/>
            <wp:effectExtent l="19050" t="1905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0633" cy="2194560"/>
                    </a:xfrm>
                    <a:prstGeom prst="rect">
                      <a:avLst/>
                    </a:prstGeom>
                    <a:noFill/>
                    <a:ln>
                      <a:solidFill>
                        <a:schemeClr val="tx1"/>
                      </a:solidFill>
                    </a:ln>
                    <a:extLst/>
                  </pic:spPr>
                </pic:pic>
              </a:graphicData>
            </a:graphic>
          </wp:inline>
        </w:drawing>
      </w:r>
    </w:p>
    <w:p w:rsidR="00A44D79" w:rsidRDefault="00A44D79" w:rsidP="00A44D79">
      <w:pPr>
        <w:pStyle w:val="VSFigurelabel"/>
        <w:keepNext/>
      </w:pPr>
      <w:r>
        <w:t xml:space="preserve">Figure 1 </w:t>
      </w:r>
      <w:r w:rsidR="002225B1">
        <w:t>Raw lamp output from UV-VIS/Fluorescence Spectrophotometer</w:t>
      </w:r>
    </w:p>
    <w:p w:rsidR="00A44D79" w:rsidRDefault="002225B1" w:rsidP="00A44D79">
      <w:pPr>
        <w:pStyle w:val="VSFigurelabel"/>
        <w:keepNext/>
      </w:pPr>
      <w:r w:rsidRPr="002225B1">
        <w:rPr>
          <w:noProof/>
        </w:rPr>
        <w:drawing>
          <wp:inline distT="0" distB="0" distL="0" distR="0" wp14:anchorId="5AB016F9" wp14:editId="306E2CB8">
            <wp:extent cx="3511016" cy="2194560"/>
            <wp:effectExtent l="19050" t="1905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1016" cy="2194560"/>
                    </a:xfrm>
                    <a:prstGeom prst="rect">
                      <a:avLst/>
                    </a:prstGeom>
                    <a:noFill/>
                    <a:ln>
                      <a:solidFill>
                        <a:schemeClr val="tx1"/>
                      </a:solidFill>
                    </a:ln>
                    <a:extLst/>
                  </pic:spPr>
                </pic:pic>
              </a:graphicData>
            </a:graphic>
          </wp:inline>
        </w:drawing>
      </w:r>
    </w:p>
    <w:p w:rsidR="00A44D79" w:rsidRDefault="00A44D79" w:rsidP="00A44D79">
      <w:pPr>
        <w:pStyle w:val="VSFigurelabel"/>
        <w:keepNext/>
      </w:pPr>
      <w:r>
        <w:t xml:space="preserve">Figure 2 </w:t>
      </w:r>
      <w:r w:rsidR="002225B1">
        <w:t>Raw lamp output at various sample times</w:t>
      </w:r>
    </w:p>
    <w:p w:rsidR="00A44D79" w:rsidRDefault="002225B1" w:rsidP="00A44D79">
      <w:pPr>
        <w:pStyle w:val="VSStepbullet"/>
        <w:numPr>
          <w:ilvl w:val="0"/>
          <w:numId w:val="0"/>
        </w:numPr>
        <w:jc w:val="center"/>
      </w:pPr>
      <w:r w:rsidRPr="002225B1">
        <w:rPr>
          <w:noProof/>
        </w:rPr>
        <w:drawing>
          <wp:inline distT="0" distB="0" distL="0" distR="0" wp14:anchorId="27FB4540" wp14:editId="6D9C6949">
            <wp:extent cx="3511810" cy="2194560"/>
            <wp:effectExtent l="19050" t="1905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1810" cy="2194560"/>
                    </a:xfrm>
                    <a:prstGeom prst="rect">
                      <a:avLst/>
                    </a:prstGeom>
                    <a:noFill/>
                    <a:ln>
                      <a:solidFill>
                        <a:schemeClr val="tx1"/>
                      </a:solidFill>
                    </a:ln>
                    <a:extLst/>
                  </pic:spPr>
                </pic:pic>
              </a:graphicData>
            </a:graphic>
          </wp:inline>
        </w:drawing>
      </w:r>
    </w:p>
    <w:p w:rsidR="00A44D79" w:rsidRDefault="00A44D79" w:rsidP="00A44D79">
      <w:pPr>
        <w:pStyle w:val="VSFigurelabel"/>
        <w:keepNext/>
      </w:pPr>
      <w:r>
        <w:t xml:space="preserve">Figure 3 </w:t>
      </w:r>
      <w:r w:rsidR="00AD4913">
        <w:t>Raw lamp output with adjusted wavelength smoothing</w:t>
      </w:r>
    </w:p>
    <w:p w:rsidR="00A44D79" w:rsidRDefault="00A44D79" w:rsidP="00A44D79">
      <w:pPr>
        <w:pStyle w:val="VSStepbullet"/>
        <w:numPr>
          <w:ilvl w:val="0"/>
          <w:numId w:val="0"/>
        </w:numPr>
        <w:ind w:left="792"/>
      </w:pPr>
    </w:p>
    <w:p w:rsidR="00AD4913" w:rsidRDefault="00AD4913" w:rsidP="00AD4913">
      <w:pPr>
        <w:pStyle w:val="VSFigurelabel"/>
        <w:keepNext/>
      </w:pPr>
    </w:p>
    <w:p w:rsidR="00AD4913" w:rsidRDefault="00AD4913" w:rsidP="00AD4913">
      <w:pPr>
        <w:pStyle w:val="VSStepbullet"/>
        <w:numPr>
          <w:ilvl w:val="0"/>
          <w:numId w:val="0"/>
        </w:numPr>
        <w:jc w:val="center"/>
      </w:pPr>
      <w:r w:rsidRPr="00AD4913">
        <w:rPr>
          <w:noProof/>
        </w:rPr>
        <w:drawing>
          <wp:inline distT="0" distB="0" distL="0" distR="0" wp14:anchorId="2E998557" wp14:editId="529D32A5">
            <wp:extent cx="3511296" cy="2194560"/>
            <wp:effectExtent l="19050" t="1905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1296" cy="2194560"/>
                    </a:xfrm>
                    <a:prstGeom prst="rect">
                      <a:avLst/>
                    </a:prstGeom>
                    <a:noFill/>
                    <a:ln>
                      <a:solidFill>
                        <a:schemeClr val="tx1"/>
                      </a:solidFill>
                    </a:ln>
                    <a:extLst/>
                  </pic:spPr>
                </pic:pic>
              </a:graphicData>
            </a:graphic>
          </wp:inline>
        </w:drawing>
      </w:r>
    </w:p>
    <w:p w:rsidR="00AD4913" w:rsidRDefault="00AD4913" w:rsidP="00AD4913">
      <w:pPr>
        <w:pStyle w:val="VSFigurelabel"/>
        <w:keepNext/>
      </w:pPr>
      <w:r>
        <w:t>Figure 4 Raw lamp output with adjusted samples to average</w:t>
      </w:r>
    </w:p>
    <w:p w:rsidR="00AD4913" w:rsidRDefault="00AD4913" w:rsidP="00A44D79">
      <w:pPr>
        <w:pStyle w:val="VSStepbullet"/>
        <w:numPr>
          <w:ilvl w:val="0"/>
          <w:numId w:val="0"/>
        </w:numPr>
        <w:ind w:left="792"/>
      </w:pPr>
    </w:p>
    <w:p w:rsidR="00AD4913" w:rsidRDefault="00AD4913">
      <w:pPr>
        <w:rPr>
          <w:rFonts w:ascii="Arial" w:hAnsi="Arial" w:cs="Arial"/>
          <w:b/>
          <w:sz w:val="20"/>
        </w:rPr>
      </w:pPr>
      <w:r>
        <w:br w:type="page"/>
      </w:r>
    </w:p>
    <w:p w:rsidR="00A44D79" w:rsidRDefault="00A44D79" w:rsidP="00A44D79">
      <w:pPr>
        <w:pStyle w:val="VSHeadingsub1"/>
      </w:pPr>
      <w:r>
        <w:lastRenderedPageBreak/>
        <w:t xml:space="preserve">Part </w:t>
      </w:r>
      <w:proofErr w:type="gramStart"/>
      <w:r>
        <w:t>II  Obtaining</w:t>
      </w:r>
      <w:proofErr w:type="gramEnd"/>
      <w:r>
        <w:t xml:space="preserve"> an Accurate Fluorescence Spectrum</w:t>
      </w:r>
    </w:p>
    <w:p w:rsidR="00A44D79" w:rsidRDefault="00A44D79" w:rsidP="00A44D79">
      <w:pPr>
        <w:pStyle w:val="VSFigurelabel"/>
        <w:keepNext/>
      </w:pPr>
      <w:r>
        <w:rPr>
          <w:i w:val="0"/>
          <w:noProof/>
        </w:rPr>
        <w:drawing>
          <wp:inline distT="0" distB="0" distL="0" distR="0" wp14:anchorId="0379270B" wp14:editId="59DB77E2">
            <wp:extent cx="3510467" cy="2194560"/>
            <wp:effectExtent l="19050" t="1905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510467" cy="2194560"/>
                    </a:xfrm>
                    <a:prstGeom prst="rect">
                      <a:avLst/>
                    </a:prstGeom>
                    <a:noFill/>
                    <a:ln w="9525">
                      <a:solidFill>
                        <a:schemeClr val="tx1"/>
                      </a:solidFill>
                      <a:miter lim="800000"/>
                      <a:headEnd/>
                      <a:tailEnd/>
                    </a:ln>
                  </pic:spPr>
                </pic:pic>
              </a:graphicData>
            </a:graphic>
          </wp:inline>
        </w:drawing>
      </w:r>
    </w:p>
    <w:p w:rsidR="00A44D79" w:rsidRDefault="00A44D79" w:rsidP="00A44D79">
      <w:pPr>
        <w:pStyle w:val="VSFigurelabel"/>
        <w:keepNext/>
      </w:pPr>
      <w:r>
        <w:t xml:space="preserve">Figure </w:t>
      </w:r>
      <w:r w:rsidR="00AF40F2">
        <w:t>5</w:t>
      </w:r>
      <w:r>
        <w:t xml:space="preserve"> Stokes shift of quinine</w:t>
      </w:r>
    </w:p>
    <w:p w:rsidR="00A44D79" w:rsidRDefault="00A44D79" w:rsidP="00A44D79">
      <w:pPr>
        <w:pStyle w:val="VSStepbullet"/>
        <w:numPr>
          <w:ilvl w:val="0"/>
          <w:numId w:val="0"/>
        </w:numPr>
        <w:jc w:val="center"/>
      </w:pPr>
      <w:r>
        <w:rPr>
          <w:noProof/>
        </w:rPr>
        <w:drawing>
          <wp:inline distT="0" distB="0" distL="0" distR="0" wp14:anchorId="703D2F11" wp14:editId="7643848D">
            <wp:extent cx="3510465" cy="2194560"/>
            <wp:effectExtent l="19050" t="1905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3510465" cy="2194560"/>
                    </a:xfrm>
                    <a:prstGeom prst="rect">
                      <a:avLst/>
                    </a:prstGeom>
                    <a:noFill/>
                    <a:ln w="9525">
                      <a:solidFill>
                        <a:schemeClr val="tx1"/>
                      </a:solidFill>
                      <a:miter lim="800000"/>
                      <a:headEnd/>
                      <a:tailEnd/>
                    </a:ln>
                  </pic:spPr>
                </pic:pic>
              </a:graphicData>
            </a:graphic>
          </wp:inline>
        </w:drawing>
      </w:r>
    </w:p>
    <w:p w:rsidR="00A44D79" w:rsidRDefault="00A44D79" w:rsidP="00AD4913">
      <w:pPr>
        <w:pStyle w:val="VSFigurelabel"/>
      </w:pPr>
      <w:r>
        <w:t xml:space="preserve">Figure </w:t>
      </w:r>
      <w:r w:rsidR="00AF40F2">
        <w:t>6</w:t>
      </w:r>
      <w:r>
        <w:t xml:space="preserve"> Fluorescence Spectra of 10 mg/L quinine at various LED intensities</w:t>
      </w:r>
      <w:r>
        <w:rPr>
          <w:noProof/>
        </w:rPr>
        <w:drawing>
          <wp:inline distT="0" distB="0" distL="0" distR="0" wp14:anchorId="566337DB" wp14:editId="3762B1DD">
            <wp:extent cx="3657600" cy="2286540"/>
            <wp:effectExtent l="19050" t="19050" r="19050" b="185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3657600" cy="2286540"/>
                    </a:xfrm>
                    <a:prstGeom prst="rect">
                      <a:avLst/>
                    </a:prstGeom>
                    <a:noFill/>
                    <a:ln w="9525">
                      <a:solidFill>
                        <a:schemeClr val="tx1"/>
                      </a:solidFill>
                      <a:miter lim="800000"/>
                      <a:headEnd/>
                      <a:tailEnd/>
                    </a:ln>
                  </pic:spPr>
                </pic:pic>
              </a:graphicData>
            </a:graphic>
          </wp:inline>
        </w:drawing>
      </w:r>
    </w:p>
    <w:p w:rsidR="00A44D79" w:rsidRDefault="00A44D79" w:rsidP="00A44D79">
      <w:pPr>
        <w:pStyle w:val="VSFigurelabel"/>
        <w:keepNext/>
      </w:pPr>
      <w:r>
        <w:t xml:space="preserve">Figure </w:t>
      </w:r>
      <w:r w:rsidR="00AF40F2">
        <w:t>7</w:t>
      </w:r>
      <w:r>
        <w:t xml:space="preserve"> Fluorescence Spectra of 10 mg/L quinine at 375 nm, 450 nm, and 525 nm excitation</w:t>
      </w:r>
    </w:p>
    <w:p w:rsidR="00A44D79" w:rsidRDefault="00A44D79" w:rsidP="00A44D79">
      <w:pPr>
        <w:pStyle w:val="VSFigurelabel"/>
        <w:keepNext/>
      </w:pPr>
    </w:p>
    <w:p w:rsidR="00A44D79" w:rsidRDefault="00A44D79" w:rsidP="00A44D79">
      <w:pPr>
        <w:pStyle w:val="VSHeadingsub1"/>
      </w:pPr>
    </w:p>
    <w:p w:rsidR="00A44D79" w:rsidRDefault="00A44D79" w:rsidP="00B23809">
      <w:pPr>
        <w:pStyle w:val="VSHeadingsub1"/>
      </w:pPr>
      <w:r>
        <w:br w:type="page"/>
      </w:r>
      <w:r>
        <w:lastRenderedPageBreak/>
        <w:t xml:space="preserve">Part </w:t>
      </w:r>
      <w:proofErr w:type="gramStart"/>
      <w:r>
        <w:t>III  Conducting</w:t>
      </w:r>
      <w:proofErr w:type="gramEnd"/>
      <w:r>
        <w:t xml:space="preserve"> a Proper Fluorescence Experiment: Concentration</w:t>
      </w:r>
    </w:p>
    <w:p w:rsidR="00A44D79" w:rsidRDefault="00AD4913" w:rsidP="00AD4913">
      <w:pPr>
        <w:pStyle w:val="VSHeadingsub1"/>
        <w:jc w:val="center"/>
      </w:pPr>
      <w:r w:rsidRPr="00AD4913">
        <w:rPr>
          <w:noProof/>
        </w:rPr>
        <w:drawing>
          <wp:inline distT="0" distB="0" distL="0" distR="0" wp14:anchorId="5C4C8E9C" wp14:editId="0007EBA4">
            <wp:extent cx="3511296" cy="2194560"/>
            <wp:effectExtent l="19050" t="19050" r="0" b="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1296" cy="2194560"/>
                    </a:xfrm>
                    <a:prstGeom prst="rect">
                      <a:avLst/>
                    </a:prstGeom>
                    <a:noFill/>
                    <a:ln>
                      <a:solidFill>
                        <a:schemeClr val="tx1"/>
                      </a:solidFill>
                    </a:ln>
                    <a:extLst/>
                  </pic:spPr>
                </pic:pic>
              </a:graphicData>
            </a:graphic>
          </wp:inline>
        </w:drawing>
      </w:r>
    </w:p>
    <w:p w:rsidR="00AD4913" w:rsidRDefault="00AD4913" w:rsidP="00AD4913">
      <w:pPr>
        <w:pStyle w:val="VSFigurelabel"/>
        <w:keepNext/>
      </w:pPr>
      <w:r>
        <w:t xml:space="preserve">Figure </w:t>
      </w:r>
      <w:r w:rsidR="00AF40F2">
        <w:t>8</w:t>
      </w:r>
      <w:r>
        <w:t xml:space="preserve"> Gross calibration </w:t>
      </w:r>
      <w:proofErr w:type="gramStart"/>
      <w:r>
        <w:t>curve</w:t>
      </w:r>
      <w:proofErr w:type="gramEnd"/>
      <w:r>
        <w:t xml:space="preserve"> for quinine</w:t>
      </w:r>
    </w:p>
    <w:p w:rsidR="00A44D79" w:rsidRDefault="00A44D79" w:rsidP="00A44D79">
      <w:pPr>
        <w:pStyle w:val="VSFigurelabel"/>
        <w:keepNext/>
      </w:pPr>
      <w:r>
        <w:rPr>
          <w:i w:val="0"/>
          <w:noProof/>
        </w:rPr>
        <w:drawing>
          <wp:inline distT="0" distB="0" distL="0" distR="0" wp14:anchorId="077B98B9" wp14:editId="2B9EA549">
            <wp:extent cx="3510467" cy="2194560"/>
            <wp:effectExtent l="19050" t="1905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3510467" cy="2194560"/>
                    </a:xfrm>
                    <a:prstGeom prst="rect">
                      <a:avLst/>
                    </a:prstGeom>
                    <a:noFill/>
                    <a:ln w="9525">
                      <a:solidFill>
                        <a:schemeClr val="tx1"/>
                      </a:solidFill>
                      <a:miter lim="800000"/>
                      <a:headEnd/>
                      <a:tailEnd/>
                    </a:ln>
                  </pic:spPr>
                </pic:pic>
              </a:graphicData>
            </a:graphic>
          </wp:inline>
        </w:drawing>
      </w:r>
    </w:p>
    <w:p w:rsidR="00A44D79" w:rsidRDefault="00A44D79" w:rsidP="00A44D79">
      <w:pPr>
        <w:pStyle w:val="VSFigurelabel"/>
        <w:keepNext/>
      </w:pPr>
      <w:r>
        <w:t xml:space="preserve">Figure </w:t>
      </w:r>
      <w:r w:rsidR="00AF40F2">
        <w:t>9</w:t>
      </w:r>
      <w:r>
        <w:t xml:space="preserve"> </w:t>
      </w:r>
      <w:r w:rsidR="00AD4913">
        <w:t xml:space="preserve">Linear </w:t>
      </w:r>
      <w:proofErr w:type="gramStart"/>
      <w:r w:rsidR="00AD4913">
        <w:t>region</w:t>
      </w:r>
      <w:proofErr w:type="gramEnd"/>
      <w:r w:rsidR="00AD4913">
        <w:t xml:space="preserve"> of f</w:t>
      </w:r>
      <w:r>
        <w:t xml:space="preserve">luorescence </w:t>
      </w:r>
      <w:r w:rsidRPr="00AF40F2">
        <w:rPr>
          <w:i w:val="0"/>
        </w:rPr>
        <w:t>vs</w:t>
      </w:r>
      <w:r>
        <w:t xml:space="preserve"> </w:t>
      </w:r>
      <w:r w:rsidR="00AD4913">
        <w:t>c</w:t>
      </w:r>
      <w:r>
        <w:t>oncentration data for quinine</w:t>
      </w:r>
    </w:p>
    <w:p w:rsidR="00A44D79" w:rsidRDefault="00A44D79">
      <w:pPr>
        <w:rPr>
          <w:rFonts w:ascii="Arial" w:hAnsi="Arial" w:cs="Arial"/>
          <w:b/>
          <w:sz w:val="20"/>
        </w:rPr>
      </w:pPr>
    </w:p>
    <w:p w:rsidR="002225B1" w:rsidRDefault="002225B1">
      <w:pPr>
        <w:rPr>
          <w:rFonts w:ascii="Arial" w:hAnsi="Arial" w:cs="Arial"/>
          <w:b/>
          <w:sz w:val="20"/>
        </w:rPr>
      </w:pPr>
      <w:r>
        <w:br w:type="page"/>
      </w:r>
    </w:p>
    <w:p w:rsidR="00A44D79" w:rsidRDefault="00A44D79" w:rsidP="00A44D79">
      <w:pPr>
        <w:pStyle w:val="VSHeadingsub1"/>
      </w:pPr>
      <w:r>
        <w:lastRenderedPageBreak/>
        <w:t xml:space="preserve">Part </w:t>
      </w:r>
      <w:proofErr w:type="gramStart"/>
      <w:r>
        <w:t>IV  Learning</w:t>
      </w:r>
      <w:proofErr w:type="gramEnd"/>
      <w:r>
        <w:t xml:space="preserve"> about Molecules with Fluorescence Spectroscopy</w:t>
      </w:r>
    </w:p>
    <w:p w:rsidR="00E75659" w:rsidRDefault="0034144E" w:rsidP="00A44D79">
      <w:pPr>
        <w:pStyle w:val="VSStepbullet"/>
        <w:numPr>
          <w:ilvl w:val="0"/>
          <w:numId w:val="0"/>
        </w:numPr>
        <w:jc w:val="center"/>
      </w:pPr>
      <w:r>
        <w:rPr>
          <w:noProof/>
        </w:rPr>
        <w:drawing>
          <wp:inline distT="0" distB="0" distL="0" distR="0">
            <wp:extent cx="3657600" cy="2286540"/>
            <wp:effectExtent l="19050" t="19050" r="19050" b="185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657600" cy="2286540"/>
                    </a:xfrm>
                    <a:prstGeom prst="rect">
                      <a:avLst/>
                    </a:prstGeom>
                    <a:noFill/>
                    <a:ln w="9525">
                      <a:solidFill>
                        <a:schemeClr val="tx1"/>
                      </a:solidFill>
                      <a:miter lim="800000"/>
                      <a:headEnd/>
                      <a:tailEnd/>
                    </a:ln>
                  </pic:spPr>
                </pic:pic>
              </a:graphicData>
            </a:graphic>
          </wp:inline>
        </w:drawing>
      </w:r>
    </w:p>
    <w:p w:rsidR="00E75659" w:rsidRDefault="00AD4913" w:rsidP="00A44D79">
      <w:pPr>
        <w:pStyle w:val="VSFigurelabel"/>
        <w:keepNext/>
      </w:pPr>
      <w:r>
        <w:t>Figure 1</w:t>
      </w:r>
      <w:r w:rsidR="00AF40F2">
        <w:t>0</w:t>
      </w:r>
      <w:r w:rsidR="00E75659">
        <w:t xml:space="preserve"> Fluorescence Spectra of</w:t>
      </w:r>
      <w:r w:rsidR="009013ED">
        <w:t xml:space="preserve"> </w:t>
      </w:r>
      <w:r w:rsidR="00A44D79">
        <w:t xml:space="preserve">10 mg/L quinine </w:t>
      </w:r>
      <w:r w:rsidR="00E75659">
        <w:t>at various pH values</w:t>
      </w:r>
    </w:p>
    <w:p w:rsidR="00510D99" w:rsidRDefault="0034144E" w:rsidP="0034144E">
      <w:pPr>
        <w:pStyle w:val="VSSpacer"/>
        <w:jc w:val="center"/>
      </w:pPr>
      <w:r>
        <w:rPr>
          <w:noProof/>
        </w:rPr>
        <w:drawing>
          <wp:inline distT="0" distB="0" distL="0" distR="0">
            <wp:extent cx="3657600" cy="2286540"/>
            <wp:effectExtent l="19050" t="19050" r="19050" b="1851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657600" cy="2286540"/>
                    </a:xfrm>
                    <a:prstGeom prst="rect">
                      <a:avLst/>
                    </a:prstGeom>
                    <a:noFill/>
                    <a:ln w="9525">
                      <a:solidFill>
                        <a:schemeClr val="tx1"/>
                      </a:solidFill>
                      <a:miter lim="800000"/>
                      <a:headEnd/>
                      <a:tailEnd/>
                    </a:ln>
                  </pic:spPr>
                </pic:pic>
              </a:graphicData>
            </a:graphic>
          </wp:inline>
        </w:drawing>
      </w:r>
    </w:p>
    <w:p w:rsidR="00E75659" w:rsidRDefault="00E75659" w:rsidP="00E75659">
      <w:pPr>
        <w:pStyle w:val="VSFigurelabel"/>
        <w:keepNext/>
      </w:pPr>
      <w:r>
        <w:t xml:space="preserve">Figure </w:t>
      </w:r>
      <w:r w:rsidR="00AF40F2">
        <w:t>11</w:t>
      </w:r>
      <w:r>
        <w:t xml:space="preserve"> Fluorescence Spectra of </w:t>
      </w:r>
      <w:r w:rsidR="00A44D79">
        <w:t xml:space="preserve">10 mg/L quinine at various </w:t>
      </w:r>
      <w:proofErr w:type="spellStart"/>
      <w:r w:rsidR="00A44D79">
        <w:t>K</w:t>
      </w:r>
      <w:r>
        <w:t>Br</w:t>
      </w:r>
      <w:proofErr w:type="spellEnd"/>
      <w:r>
        <w:t xml:space="preserve"> Concentrations</w:t>
      </w:r>
    </w:p>
    <w:p w:rsidR="00AF40F2" w:rsidRDefault="00B3055E" w:rsidP="00AF40F2">
      <w:pPr>
        <w:pStyle w:val="VSSpacer"/>
        <w:jc w:val="center"/>
      </w:pPr>
      <w:r w:rsidRPr="00B3055E">
        <w:rPr>
          <w:noProof/>
        </w:rPr>
        <w:drawing>
          <wp:inline distT="0" distB="0" distL="0" distR="0" wp14:anchorId="63E1D7A0" wp14:editId="6A19F7A7">
            <wp:extent cx="3511015" cy="2194560"/>
            <wp:effectExtent l="19050" t="1905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1015" cy="2194560"/>
                    </a:xfrm>
                    <a:prstGeom prst="rect">
                      <a:avLst/>
                    </a:prstGeom>
                    <a:noFill/>
                    <a:ln>
                      <a:solidFill>
                        <a:schemeClr val="tx1"/>
                      </a:solidFill>
                    </a:ln>
                    <a:extLst/>
                  </pic:spPr>
                </pic:pic>
              </a:graphicData>
            </a:graphic>
          </wp:inline>
        </w:drawing>
      </w:r>
    </w:p>
    <w:p w:rsidR="00B3055E" w:rsidRDefault="00B3055E" w:rsidP="00AF40F2">
      <w:pPr>
        <w:pStyle w:val="VSFigurelabel"/>
      </w:pPr>
      <w:r>
        <w:t xml:space="preserve">Figure </w:t>
      </w:r>
      <w:r w:rsidR="00AF40F2">
        <w:t>12</w:t>
      </w:r>
      <w:r>
        <w:t xml:space="preserve"> Stern-</w:t>
      </w:r>
      <w:proofErr w:type="spellStart"/>
      <w:r>
        <w:t>Volmer</w:t>
      </w:r>
      <w:proofErr w:type="spellEnd"/>
      <w:r>
        <w:t xml:space="preserve"> </w:t>
      </w:r>
      <w:proofErr w:type="gramStart"/>
      <w:r>
        <w:t>plot</w:t>
      </w:r>
      <w:proofErr w:type="gramEnd"/>
      <w:r>
        <w:t xml:space="preserve"> for halide quenching of quinine</w:t>
      </w:r>
    </w:p>
    <w:p w:rsidR="00B3055E" w:rsidRDefault="00B3055E" w:rsidP="00510D99">
      <w:pPr>
        <w:pStyle w:val="VSSpacer"/>
      </w:pPr>
    </w:p>
    <w:sectPr w:rsidR="00B3055E" w:rsidSect="00807E3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70" w:rsidRDefault="00A57370" w:rsidP="00C45DDE">
      <w:r>
        <w:separator/>
      </w:r>
    </w:p>
  </w:endnote>
  <w:endnote w:type="continuationSeparator" w:id="0">
    <w:p w:rsidR="00A57370" w:rsidRDefault="00A57370" w:rsidP="00C4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23" w:rsidRDefault="000B2023" w:rsidP="00C45DDE">
    <w:pPr>
      <w:pStyle w:val="VSFooter"/>
    </w:pPr>
    <w:r>
      <w:tab/>
    </w:r>
    <w:r w:rsidR="00462143">
      <w:t>Inquiry Approach to Understanding Fluorescence</w:t>
    </w:r>
    <w:r>
      <w:tab/>
    </w:r>
    <w:r w:rsidR="00C63601">
      <w:fldChar w:fldCharType="begin"/>
    </w:r>
    <w:r w:rsidR="009211BF">
      <w:instrText xml:space="preserve"> PAGE   \* MERGEFORMAT </w:instrText>
    </w:r>
    <w:r w:rsidR="00C63601">
      <w:fldChar w:fldCharType="separate"/>
    </w:r>
    <w:r w:rsidR="00893A26">
      <w:rPr>
        <w:noProof/>
      </w:rPr>
      <w:t>1</w:t>
    </w:r>
    <w:r w:rsidR="00C6360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70" w:rsidRDefault="00A57370" w:rsidP="00C45DDE">
      <w:r>
        <w:separator/>
      </w:r>
    </w:p>
  </w:footnote>
  <w:footnote w:type="continuationSeparator" w:id="0">
    <w:p w:rsidR="00A57370" w:rsidRDefault="00A57370" w:rsidP="00C4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23" w:rsidRDefault="000B2023" w:rsidP="00C45DDE">
    <w:pPr>
      <w:pStyle w:val="VSHeader"/>
    </w:pPr>
    <w:r>
      <w:t>Instructor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EEF"/>
    <w:multiLevelType w:val="hybridMultilevel"/>
    <w:tmpl w:val="14289768"/>
    <w:lvl w:ilvl="0" w:tplc="E8ACB368">
      <w:start w:val="1"/>
      <w:numFmt w:val="lowerLetter"/>
      <w:pStyle w:val="VSStepabc"/>
      <w:lvlText w:val="%1."/>
      <w:lvlJc w:val="left"/>
      <w:pPr>
        <w:ind w:left="86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nsid w:val="111E543A"/>
    <w:multiLevelType w:val="hybridMultilevel"/>
    <w:tmpl w:val="76784668"/>
    <w:lvl w:ilvl="0" w:tplc="46CA0D54">
      <w:start w:val="1"/>
      <w:numFmt w:val="decimal"/>
      <w:lvlText w:val="%1."/>
      <w:lvlJc w:val="left"/>
      <w:pPr>
        <w:ind w:left="547"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03A7B"/>
    <w:multiLevelType w:val="hybridMultilevel"/>
    <w:tmpl w:val="7B8C31D6"/>
    <w:lvl w:ilvl="0" w:tplc="67245914">
      <w:start w:val="1"/>
      <w:numFmt w:val="bullet"/>
      <w:lvlText w:val="•"/>
      <w:lvlJc w:val="left"/>
      <w:pPr>
        <w:tabs>
          <w:tab w:val="num" w:pos="720"/>
        </w:tabs>
        <w:ind w:left="720" w:hanging="360"/>
      </w:pPr>
      <w:rPr>
        <w:rFonts w:ascii="Arial" w:hAnsi="Arial" w:hint="default"/>
      </w:rPr>
    </w:lvl>
    <w:lvl w:ilvl="1" w:tplc="AFD4C668" w:tentative="1">
      <w:start w:val="1"/>
      <w:numFmt w:val="bullet"/>
      <w:lvlText w:val="•"/>
      <w:lvlJc w:val="left"/>
      <w:pPr>
        <w:tabs>
          <w:tab w:val="num" w:pos="1440"/>
        </w:tabs>
        <w:ind w:left="1440" w:hanging="360"/>
      </w:pPr>
      <w:rPr>
        <w:rFonts w:ascii="Arial" w:hAnsi="Arial" w:hint="default"/>
      </w:rPr>
    </w:lvl>
    <w:lvl w:ilvl="2" w:tplc="1F741736" w:tentative="1">
      <w:start w:val="1"/>
      <w:numFmt w:val="bullet"/>
      <w:lvlText w:val="•"/>
      <w:lvlJc w:val="left"/>
      <w:pPr>
        <w:tabs>
          <w:tab w:val="num" w:pos="2160"/>
        </w:tabs>
        <w:ind w:left="2160" w:hanging="360"/>
      </w:pPr>
      <w:rPr>
        <w:rFonts w:ascii="Arial" w:hAnsi="Arial" w:hint="default"/>
      </w:rPr>
    </w:lvl>
    <w:lvl w:ilvl="3" w:tplc="CD0E1926" w:tentative="1">
      <w:start w:val="1"/>
      <w:numFmt w:val="bullet"/>
      <w:lvlText w:val="•"/>
      <w:lvlJc w:val="left"/>
      <w:pPr>
        <w:tabs>
          <w:tab w:val="num" w:pos="2880"/>
        </w:tabs>
        <w:ind w:left="2880" w:hanging="360"/>
      </w:pPr>
      <w:rPr>
        <w:rFonts w:ascii="Arial" w:hAnsi="Arial" w:hint="default"/>
      </w:rPr>
    </w:lvl>
    <w:lvl w:ilvl="4" w:tplc="3B3A7A56" w:tentative="1">
      <w:start w:val="1"/>
      <w:numFmt w:val="bullet"/>
      <w:lvlText w:val="•"/>
      <w:lvlJc w:val="left"/>
      <w:pPr>
        <w:tabs>
          <w:tab w:val="num" w:pos="3600"/>
        </w:tabs>
        <w:ind w:left="3600" w:hanging="360"/>
      </w:pPr>
      <w:rPr>
        <w:rFonts w:ascii="Arial" w:hAnsi="Arial" w:hint="default"/>
      </w:rPr>
    </w:lvl>
    <w:lvl w:ilvl="5" w:tplc="B1209496" w:tentative="1">
      <w:start w:val="1"/>
      <w:numFmt w:val="bullet"/>
      <w:lvlText w:val="•"/>
      <w:lvlJc w:val="left"/>
      <w:pPr>
        <w:tabs>
          <w:tab w:val="num" w:pos="4320"/>
        </w:tabs>
        <w:ind w:left="4320" w:hanging="360"/>
      </w:pPr>
      <w:rPr>
        <w:rFonts w:ascii="Arial" w:hAnsi="Arial" w:hint="default"/>
      </w:rPr>
    </w:lvl>
    <w:lvl w:ilvl="6" w:tplc="ED80E0C6" w:tentative="1">
      <w:start w:val="1"/>
      <w:numFmt w:val="bullet"/>
      <w:lvlText w:val="•"/>
      <w:lvlJc w:val="left"/>
      <w:pPr>
        <w:tabs>
          <w:tab w:val="num" w:pos="5040"/>
        </w:tabs>
        <w:ind w:left="5040" w:hanging="360"/>
      </w:pPr>
      <w:rPr>
        <w:rFonts w:ascii="Arial" w:hAnsi="Arial" w:hint="default"/>
      </w:rPr>
    </w:lvl>
    <w:lvl w:ilvl="7" w:tplc="C88AC9D0" w:tentative="1">
      <w:start w:val="1"/>
      <w:numFmt w:val="bullet"/>
      <w:lvlText w:val="•"/>
      <w:lvlJc w:val="left"/>
      <w:pPr>
        <w:tabs>
          <w:tab w:val="num" w:pos="5760"/>
        </w:tabs>
        <w:ind w:left="5760" w:hanging="360"/>
      </w:pPr>
      <w:rPr>
        <w:rFonts w:ascii="Arial" w:hAnsi="Arial" w:hint="default"/>
      </w:rPr>
    </w:lvl>
    <w:lvl w:ilvl="8" w:tplc="C7D2503E" w:tentative="1">
      <w:start w:val="1"/>
      <w:numFmt w:val="bullet"/>
      <w:lvlText w:val="•"/>
      <w:lvlJc w:val="left"/>
      <w:pPr>
        <w:tabs>
          <w:tab w:val="num" w:pos="6480"/>
        </w:tabs>
        <w:ind w:left="6480" w:hanging="360"/>
      </w:pPr>
      <w:rPr>
        <w:rFonts w:ascii="Arial" w:hAnsi="Arial" w:hint="default"/>
      </w:rPr>
    </w:lvl>
  </w:abstractNum>
  <w:abstractNum w:abstractNumId="3">
    <w:nsid w:val="3AB62794"/>
    <w:multiLevelType w:val="hybridMultilevel"/>
    <w:tmpl w:val="2312BC7E"/>
    <w:lvl w:ilvl="0" w:tplc="9E7ECFD6">
      <w:start w:val="1"/>
      <w:numFmt w:val="bullet"/>
      <w:pStyle w:val="VSParagraphObjectivebullet"/>
      <w:lvlText w:val=""/>
      <w:lvlJc w:val="left"/>
      <w:pPr>
        <w:ind w:left="792"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061DA6"/>
    <w:multiLevelType w:val="hybridMultilevel"/>
    <w:tmpl w:val="ACF25ED6"/>
    <w:lvl w:ilvl="0" w:tplc="CCBCCEDE">
      <w:start w:val="1"/>
      <w:numFmt w:val="decimal"/>
      <w:lvlText w:val="%1."/>
      <w:lvlJc w:val="left"/>
      <w:pPr>
        <w:ind w:left="547"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5A1BBD"/>
    <w:multiLevelType w:val="hybridMultilevel"/>
    <w:tmpl w:val="A9C0C4BA"/>
    <w:lvl w:ilvl="0" w:tplc="BB844766">
      <w:start w:val="1"/>
      <w:numFmt w:val="bullet"/>
      <w:lvlText w:val="•"/>
      <w:lvlJc w:val="left"/>
      <w:pPr>
        <w:tabs>
          <w:tab w:val="num" w:pos="720"/>
        </w:tabs>
        <w:ind w:left="720" w:hanging="360"/>
      </w:pPr>
      <w:rPr>
        <w:rFonts w:ascii="Arial" w:hAnsi="Arial" w:hint="default"/>
      </w:rPr>
    </w:lvl>
    <w:lvl w:ilvl="1" w:tplc="AA2E2CD2" w:tentative="1">
      <w:start w:val="1"/>
      <w:numFmt w:val="bullet"/>
      <w:lvlText w:val="•"/>
      <w:lvlJc w:val="left"/>
      <w:pPr>
        <w:tabs>
          <w:tab w:val="num" w:pos="1440"/>
        </w:tabs>
        <w:ind w:left="1440" w:hanging="360"/>
      </w:pPr>
      <w:rPr>
        <w:rFonts w:ascii="Arial" w:hAnsi="Arial" w:hint="default"/>
      </w:rPr>
    </w:lvl>
    <w:lvl w:ilvl="2" w:tplc="BC00D28A" w:tentative="1">
      <w:start w:val="1"/>
      <w:numFmt w:val="bullet"/>
      <w:lvlText w:val="•"/>
      <w:lvlJc w:val="left"/>
      <w:pPr>
        <w:tabs>
          <w:tab w:val="num" w:pos="2160"/>
        </w:tabs>
        <w:ind w:left="2160" w:hanging="360"/>
      </w:pPr>
      <w:rPr>
        <w:rFonts w:ascii="Arial" w:hAnsi="Arial" w:hint="default"/>
      </w:rPr>
    </w:lvl>
    <w:lvl w:ilvl="3" w:tplc="B7280A88" w:tentative="1">
      <w:start w:val="1"/>
      <w:numFmt w:val="bullet"/>
      <w:lvlText w:val="•"/>
      <w:lvlJc w:val="left"/>
      <w:pPr>
        <w:tabs>
          <w:tab w:val="num" w:pos="2880"/>
        </w:tabs>
        <w:ind w:left="2880" w:hanging="360"/>
      </w:pPr>
      <w:rPr>
        <w:rFonts w:ascii="Arial" w:hAnsi="Arial" w:hint="default"/>
      </w:rPr>
    </w:lvl>
    <w:lvl w:ilvl="4" w:tplc="7E7AAC6E" w:tentative="1">
      <w:start w:val="1"/>
      <w:numFmt w:val="bullet"/>
      <w:lvlText w:val="•"/>
      <w:lvlJc w:val="left"/>
      <w:pPr>
        <w:tabs>
          <w:tab w:val="num" w:pos="3600"/>
        </w:tabs>
        <w:ind w:left="3600" w:hanging="360"/>
      </w:pPr>
      <w:rPr>
        <w:rFonts w:ascii="Arial" w:hAnsi="Arial" w:hint="default"/>
      </w:rPr>
    </w:lvl>
    <w:lvl w:ilvl="5" w:tplc="7F7E6950" w:tentative="1">
      <w:start w:val="1"/>
      <w:numFmt w:val="bullet"/>
      <w:lvlText w:val="•"/>
      <w:lvlJc w:val="left"/>
      <w:pPr>
        <w:tabs>
          <w:tab w:val="num" w:pos="4320"/>
        </w:tabs>
        <w:ind w:left="4320" w:hanging="360"/>
      </w:pPr>
      <w:rPr>
        <w:rFonts w:ascii="Arial" w:hAnsi="Arial" w:hint="default"/>
      </w:rPr>
    </w:lvl>
    <w:lvl w:ilvl="6" w:tplc="AFEC791C" w:tentative="1">
      <w:start w:val="1"/>
      <w:numFmt w:val="bullet"/>
      <w:lvlText w:val="•"/>
      <w:lvlJc w:val="left"/>
      <w:pPr>
        <w:tabs>
          <w:tab w:val="num" w:pos="5040"/>
        </w:tabs>
        <w:ind w:left="5040" w:hanging="360"/>
      </w:pPr>
      <w:rPr>
        <w:rFonts w:ascii="Arial" w:hAnsi="Arial" w:hint="default"/>
      </w:rPr>
    </w:lvl>
    <w:lvl w:ilvl="7" w:tplc="AC6AD7CC" w:tentative="1">
      <w:start w:val="1"/>
      <w:numFmt w:val="bullet"/>
      <w:lvlText w:val="•"/>
      <w:lvlJc w:val="left"/>
      <w:pPr>
        <w:tabs>
          <w:tab w:val="num" w:pos="5760"/>
        </w:tabs>
        <w:ind w:left="5760" w:hanging="360"/>
      </w:pPr>
      <w:rPr>
        <w:rFonts w:ascii="Arial" w:hAnsi="Arial" w:hint="default"/>
      </w:rPr>
    </w:lvl>
    <w:lvl w:ilvl="8" w:tplc="27C8941A" w:tentative="1">
      <w:start w:val="1"/>
      <w:numFmt w:val="bullet"/>
      <w:lvlText w:val="•"/>
      <w:lvlJc w:val="left"/>
      <w:pPr>
        <w:tabs>
          <w:tab w:val="num" w:pos="6480"/>
        </w:tabs>
        <w:ind w:left="6480" w:hanging="360"/>
      </w:pPr>
      <w:rPr>
        <w:rFonts w:ascii="Arial" w:hAnsi="Arial" w:hint="default"/>
      </w:rPr>
    </w:lvl>
  </w:abstractNum>
  <w:abstractNum w:abstractNumId="6">
    <w:nsid w:val="64AB4941"/>
    <w:multiLevelType w:val="hybridMultilevel"/>
    <w:tmpl w:val="AA28630A"/>
    <w:lvl w:ilvl="0" w:tplc="A8FC66EA">
      <w:start w:val="1"/>
      <w:numFmt w:val="decimal"/>
      <w:pStyle w:val="VSStep"/>
      <w:lvlText w:val="%1."/>
      <w:lvlJc w:val="left"/>
      <w:pPr>
        <w:ind w:left="50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ED52E9"/>
    <w:multiLevelType w:val="hybridMultilevel"/>
    <w:tmpl w:val="A82C44F4"/>
    <w:lvl w:ilvl="0" w:tplc="A134E9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5D5F8A"/>
    <w:multiLevelType w:val="hybridMultilevel"/>
    <w:tmpl w:val="BD0278A2"/>
    <w:lvl w:ilvl="0" w:tplc="81286B4C">
      <w:start w:val="1"/>
      <w:numFmt w:val="bullet"/>
      <w:pStyle w:val="VSStepbullet"/>
      <w:lvlText w:val=""/>
      <w:lvlJc w:val="left"/>
      <w:pPr>
        <w:ind w:left="792" w:hanging="288"/>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0"/>
  </w:num>
  <w:num w:numId="6">
    <w:abstractNumId w:val="6"/>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6"/>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8"/>
  </w:num>
  <w:num w:numId="17">
    <w:abstractNumId w:val="6"/>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num>
  <w:num w:numId="27">
    <w:abstractNumId w:val="2"/>
  </w:num>
  <w:num w:numId="28">
    <w:abstractNumId w:val="5"/>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34C8"/>
    <w:rsid w:val="00010521"/>
    <w:rsid w:val="00063462"/>
    <w:rsid w:val="000B2023"/>
    <w:rsid w:val="000E0101"/>
    <w:rsid w:val="00121A7B"/>
    <w:rsid w:val="00124D7F"/>
    <w:rsid w:val="0014556B"/>
    <w:rsid w:val="00152E84"/>
    <w:rsid w:val="00157DC3"/>
    <w:rsid w:val="00160C13"/>
    <w:rsid w:val="001709B4"/>
    <w:rsid w:val="0017247F"/>
    <w:rsid w:val="00172E67"/>
    <w:rsid w:val="0017332C"/>
    <w:rsid w:val="00184731"/>
    <w:rsid w:val="00190613"/>
    <w:rsid w:val="001A4381"/>
    <w:rsid w:val="001B61EE"/>
    <w:rsid w:val="001D5774"/>
    <w:rsid w:val="001D5F56"/>
    <w:rsid w:val="001E5C52"/>
    <w:rsid w:val="001F2AE8"/>
    <w:rsid w:val="00220381"/>
    <w:rsid w:val="002225B1"/>
    <w:rsid w:val="00223ABD"/>
    <w:rsid w:val="00225242"/>
    <w:rsid w:val="002315E7"/>
    <w:rsid w:val="0023706E"/>
    <w:rsid w:val="00246230"/>
    <w:rsid w:val="002505C3"/>
    <w:rsid w:val="0026325D"/>
    <w:rsid w:val="00292CA4"/>
    <w:rsid w:val="002C56D5"/>
    <w:rsid w:val="002E1A97"/>
    <w:rsid w:val="002E3CDD"/>
    <w:rsid w:val="002E5674"/>
    <w:rsid w:val="002F0805"/>
    <w:rsid w:val="00325A1C"/>
    <w:rsid w:val="00334DC3"/>
    <w:rsid w:val="0034144E"/>
    <w:rsid w:val="00355938"/>
    <w:rsid w:val="003757E3"/>
    <w:rsid w:val="00387C97"/>
    <w:rsid w:val="003B65A5"/>
    <w:rsid w:val="003D39A9"/>
    <w:rsid w:val="003D3FF8"/>
    <w:rsid w:val="003F3C2D"/>
    <w:rsid w:val="003F68BA"/>
    <w:rsid w:val="00446448"/>
    <w:rsid w:val="00462143"/>
    <w:rsid w:val="00464B37"/>
    <w:rsid w:val="00497424"/>
    <w:rsid w:val="004B1FD6"/>
    <w:rsid w:val="004C6958"/>
    <w:rsid w:val="004E3BDD"/>
    <w:rsid w:val="004E4892"/>
    <w:rsid w:val="0050292F"/>
    <w:rsid w:val="00510D99"/>
    <w:rsid w:val="00514A6B"/>
    <w:rsid w:val="0053374C"/>
    <w:rsid w:val="0056541A"/>
    <w:rsid w:val="00565DD5"/>
    <w:rsid w:val="00575F6B"/>
    <w:rsid w:val="00594C91"/>
    <w:rsid w:val="005A2D3C"/>
    <w:rsid w:val="005B0E38"/>
    <w:rsid w:val="005C636E"/>
    <w:rsid w:val="005E5AA7"/>
    <w:rsid w:val="00610B15"/>
    <w:rsid w:val="00672532"/>
    <w:rsid w:val="00672AEA"/>
    <w:rsid w:val="00696780"/>
    <w:rsid w:val="006A0753"/>
    <w:rsid w:val="006A2942"/>
    <w:rsid w:val="006A4737"/>
    <w:rsid w:val="006D58F7"/>
    <w:rsid w:val="006F26E1"/>
    <w:rsid w:val="006F5CA7"/>
    <w:rsid w:val="0074407B"/>
    <w:rsid w:val="00747526"/>
    <w:rsid w:val="00787548"/>
    <w:rsid w:val="007D2624"/>
    <w:rsid w:val="007E1C2B"/>
    <w:rsid w:val="00807E3D"/>
    <w:rsid w:val="008273E3"/>
    <w:rsid w:val="00852A0A"/>
    <w:rsid w:val="00870BA3"/>
    <w:rsid w:val="00881039"/>
    <w:rsid w:val="00891DFC"/>
    <w:rsid w:val="00893A26"/>
    <w:rsid w:val="008E335A"/>
    <w:rsid w:val="008E7D5C"/>
    <w:rsid w:val="008F3406"/>
    <w:rsid w:val="008F41F0"/>
    <w:rsid w:val="008F6088"/>
    <w:rsid w:val="00900660"/>
    <w:rsid w:val="009013ED"/>
    <w:rsid w:val="00903199"/>
    <w:rsid w:val="00911AC0"/>
    <w:rsid w:val="00920D4A"/>
    <w:rsid w:val="009211BF"/>
    <w:rsid w:val="009478CA"/>
    <w:rsid w:val="009714B0"/>
    <w:rsid w:val="00991F7C"/>
    <w:rsid w:val="0099764F"/>
    <w:rsid w:val="009A713B"/>
    <w:rsid w:val="009C30C8"/>
    <w:rsid w:val="009C4A06"/>
    <w:rsid w:val="009C4B6F"/>
    <w:rsid w:val="009D2F7C"/>
    <w:rsid w:val="009E67DF"/>
    <w:rsid w:val="009E6C0F"/>
    <w:rsid w:val="00A425C0"/>
    <w:rsid w:val="00A44D79"/>
    <w:rsid w:val="00A45B88"/>
    <w:rsid w:val="00A57370"/>
    <w:rsid w:val="00A7300F"/>
    <w:rsid w:val="00A91F0C"/>
    <w:rsid w:val="00AB5AD1"/>
    <w:rsid w:val="00AD4913"/>
    <w:rsid w:val="00AF1D70"/>
    <w:rsid w:val="00AF40F2"/>
    <w:rsid w:val="00AF5DDE"/>
    <w:rsid w:val="00AF6E91"/>
    <w:rsid w:val="00B2097D"/>
    <w:rsid w:val="00B23809"/>
    <w:rsid w:val="00B3055E"/>
    <w:rsid w:val="00B362AD"/>
    <w:rsid w:val="00B40CD0"/>
    <w:rsid w:val="00B63BF5"/>
    <w:rsid w:val="00B94418"/>
    <w:rsid w:val="00B9774A"/>
    <w:rsid w:val="00BC5260"/>
    <w:rsid w:val="00BE4FDA"/>
    <w:rsid w:val="00BF09A4"/>
    <w:rsid w:val="00BF2530"/>
    <w:rsid w:val="00BF30E1"/>
    <w:rsid w:val="00C0363F"/>
    <w:rsid w:val="00C234C8"/>
    <w:rsid w:val="00C31BC0"/>
    <w:rsid w:val="00C356DA"/>
    <w:rsid w:val="00C42531"/>
    <w:rsid w:val="00C45DDE"/>
    <w:rsid w:val="00C63601"/>
    <w:rsid w:val="00CA53B6"/>
    <w:rsid w:val="00CD0284"/>
    <w:rsid w:val="00CD6C93"/>
    <w:rsid w:val="00CE7F2C"/>
    <w:rsid w:val="00CF02EA"/>
    <w:rsid w:val="00CF0C21"/>
    <w:rsid w:val="00CF609B"/>
    <w:rsid w:val="00D0383B"/>
    <w:rsid w:val="00D04BA5"/>
    <w:rsid w:val="00D16D1B"/>
    <w:rsid w:val="00D221CE"/>
    <w:rsid w:val="00D306E0"/>
    <w:rsid w:val="00D426F5"/>
    <w:rsid w:val="00D42F38"/>
    <w:rsid w:val="00D54E8F"/>
    <w:rsid w:val="00D5633A"/>
    <w:rsid w:val="00D60F05"/>
    <w:rsid w:val="00DC3F0D"/>
    <w:rsid w:val="00DC6DF5"/>
    <w:rsid w:val="00DC7907"/>
    <w:rsid w:val="00E21975"/>
    <w:rsid w:val="00E220D4"/>
    <w:rsid w:val="00E23ED4"/>
    <w:rsid w:val="00E27E0E"/>
    <w:rsid w:val="00E34DE0"/>
    <w:rsid w:val="00E552E4"/>
    <w:rsid w:val="00E75659"/>
    <w:rsid w:val="00E801E1"/>
    <w:rsid w:val="00E85008"/>
    <w:rsid w:val="00EC2C34"/>
    <w:rsid w:val="00EC3C36"/>
    <w:rsid w:val="00F052BE"/>
    <w:rsid w:val="00F12998"/>
    <w:rsid w:val="00F43DDB"/>
    <w:rsid w:val="00F827D3"/>
    <w:rsid w:val="00FA55DD"/>
    <w:rsid w:val="00FD58CC"/>
    <w:rsid w:val="00FF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A4381"/>
    <w:rPr>
      <w:rFonts w:ascii="Times New Roman" w:hAnsi="Times New Roman"/>
      <w:sz w:val="24"/>
    </w:rPr>
  </w:style>
  <w:style w:type="paragraph" w:styleId="Heading2">
    <w:name w:val="heading 2"/>
    <w:basedOn w:val="Normal"/>
    <w:next w:val="Normal"/>
    <w:link w:val="Heading2Char"/>
    <w:uiPriority w:val="9"/>
    <w:semiHidden/>
    <w:rsid w:val="00F827D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27D3"/>
    <w:rPr>
      <w:rFonts w:asciiTheme="majorHAnsi" w:eastAsiaTheme="majorEastAsia" w:hAnsiTheme="majorHAnsi" w:cstheme="majorBidi"/>
      <w:b/>
      <w:bCs/>
      <w:i/>
      <w:iCs/>
      <w:sz w:val="28"/>
      <w:szCs w:val="28"/>
    </w:rPr>
  </w:style>
  <w:style w:type="paragraph" w:styleId="CommentText">
    <w:name w:val="annotation text"/>
    <w:basedOn w:val="Normal"/>
    <w:link w:val="CommentTextChar"/>
    <w:uiPriority w:val="99"/>
    <w:semiHidden/>
    <w:unhideWhenUsed/>
    <w:rsid w:val="00F827D3"/>
    <w:rPr>
      <w:sz w:val="20"/>
    </w:rPr>
  </w:style>
  <w:style w:type="character" w:customStyle="1" w:styleId="CommentTextChar">
    <w:name w:val="Comment Text Char"/>
    <w:basedOn w:val="DefaultParagraphFont"/>
    <w:link w:val="CommentText"/>
    <w:uiPriority w:val="99"/>
    <w:semiHidden/>
    <w:rsid w:val="00F827D3"/>
    <w:rPr>
      <w:rFonts w:ascii="Times New Roman" w:eastAsia="Calibri" w:hAnsi="Times New Roman" w:cs="Times New Roman"/>
      <w:sz w:val="20"/>
      <w:szCs w:val="20"/>
    </w:rPr>
  </w:style>
  <w:style w:type="paragraph" w:styleId="Header">
    <w:name w:val="header"/>
    <w:basedOn w:val="Normal"/>
    <w:link w:val="HeaderChar"/>
    <w:uiPriority w:val="99"/>
    <w:unhideWhenUsed/>
    <w:rsid w:val="00F827D3"/>
    <w:pPr>
      <w:tabs>
        <w:tab w:val="center" w:pos="4680"/>
        <w:tab w:val="right" w:pos="9360"/>
      </w:tabs>
    </w:pPr>
  </w:style>
  <w:style w:type="character" w:customStyle="1" w:styleId="HeaderChar">
    <w:name w:val="Header Char"/>
    <w:basedOn w:val="DefaultParagraphFont"/>
    <w:link w:val="Header"/>
    <w:uiPriority w:val="99"/>
    <w:rsid w:val="00F827D3"/>
    <w:rPr>
      <w:rFonts w:ascii="Times New Roman" w:eastAsia="Calibri" w:hAnsi="Times New Roman" w:cs="Times New Roman"/>
      <w:sz w:val="24"/>
    </w:rPr>
  </w:style>
  <w:style w:type="paragraph" w:styleId="Footer">
    <w:name w:val="footer"/>
    <w:basedOn w:val="Normal"/>
    <w:link w:val="FooterChar"/>
    <w:uiPriority w:val="99"/>
    <w:unhideWhenUsed/>
    <w:rsid w:val="00F827D3"/>
    <w:pPr>
      <w:tabs>
        <w:tab w:val="center" w:pos="4680"/>
        <w:tab w:val="right" w:pos="9360"/>
      </w:tabs>
    </w:pPr>
  </w:style>
  <w:style w:type="character" w:customStyle="1" w:styleId="FooterChar">
    <w:name w:val="Footer Char"/>
    <w:basedOn w:val="DefaultParagraphFont"/>
    <w:link w:val="Footer"/>
    <w:uiPriority w:val="99"/>
    <w:rsid w:val="00F827D3"/>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F827D3"/>
    <w:rPr>
      <w:sz w:val="16"/>
      <w:szCs w:val="16"/>
    </w:rPr>
  </w:style>
  <w:style w:type="paragraph" w:styleId="CommentSubject">
    <w:name w:val="annotation subject"/>
    <w:basedOn w:val="CommentText"/>
    <w:next w:val="CommentText"/>
    <w:link w:val="CommentSubjectChar"/>
    <w:uiPriority w:val="99"/>
    <w:semiHidden/>
    <w:unhideWhenUsed/>
    <w:rsid w:val="00F827D3"/>
    <w:rPr>
      <w:b/>
      <w:bCs/>
    </w:rPr>
  </w:style>
  <w:style w:type="character" w:customStyle="1" w:styleId="CommentSubjectChar">
    <w:name w:val="Comment Subject Char"/>
    <w:basedOn w:val="CommentTextChar"/>
    <w:link w:val="CommentSubject"/>
    <w:uiPriority w:val="99"/>
    <w:semiHidden/>
    <w:rsid w:val="00F827D3"/>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827D3"/>
    <w:rPr>
      <w:rFonts w:ascii="Tahoma" w:hAnsi="Tahoma" w:cs="Tahoma"/>
      <w:sz w:val="16"/>
      <w:szCs w:val="16"/>
    </w:rPr>
  </w:style>
  <w:style w:type="character" w:customStyle="1" w:styleId="BalloonTextChar">
    <w:name w:val="Balloon Text Char"/>
    <w:basedOn w:val="DefaultParagraphFont"/>
    <w:link w:val="BalloonText"/>
    <w:uiPriority w:val="99"/>
    <w:semiHidden/>
    <w:rsid w:val="00F827D3"/>
    <w:rPr>
      <w:rFonts w:ascii="Tahoma" w:eastAsia="Calibri" w:hAnsi="Tahoma" w:cs="Tahoma"/>
      <w:sz w:val="16"/>
      <w:szCs w:val="16"/>
    </w:rPr>
  </w:style>
  <w:style w:type="table" w:styleId="TableGrid">
    <w:name w:val="Table Grid"/>
    <w:basedOn w:val="TableNormal"/>
    <w:uiPriority w:val="59"/>
    <w:rsid w:val="00F8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F827D3"/>
    <w:rPr>
      <w:rFonts w:ascii="Times New Roman" w:hAnsi="Times New Roman"/>
      <w:sz w:val="24"/>
    </w:rPr>
  </w:style>
  <w:style w:type="paragraph" w:styleId="ListParagraph">
    <w:name w:val="List Paragraph"/>
    <w:basedOn w:val="Normal"/>
    <w:uiPriority w:val="34"/>
    <w:semiHidden/>
    <w:rsid w:val="00F827D3"/>
    <w:pPr>
      <w:ind w:left="720"/>
      <w:contextualSpacing/>
    </w:pPr>
  </w:style>
  <w:style w:type="paragraph" w:customStyle="1" w:styleId="VSParagraphtext">
    <w:name w:val="VS Paragraph text"/>
    <w:basedOn w:val="Normal"/>
    <w:qFormat/>
    <w:rsid w:val="00F827D3"/>
    <w:pPr>
      <w:spacing w:after="240"/>
    </w:pPr>
  </w:style>
  <w:style w:type="paragraph" w:customStyle="1" w:styleId="VSParagraphwbullet">
    <w:name w:val="VS Paragraph w bullet"/>
    <w:aliases w:val="figure,center text"/>
    <w:basedOn w:val="Normal"/>
    <w:qFormat/>
    <w:rsid w:val="00F827D3"/>
    <w:pPr>
      <w:spacing w:after="120"/>
    </w:pPr>
  </w:style>
  <w:style w:type="paragraph" w:customStyle="1" w:styleId="VSParagraphtextcenteralign">
    <w:name w:val="VS Paragraph text center align"/>
    <w:basedOn w:val="Normal"/>
    <w:qFormat/>
    <w:rsid w:val="00F827D3"/>
    <w:pPr>
      <w:spacing w:after="120"/>
      <w:jc w:val="center"/>
    </w:pPr>
  </w:style>
  <w:style w:type="paragraph" w:customStyle="1" w:styleId="VSFigurelabel">
    <w:name w:val="VS Figure label"/>
    <w:basedOn w:val="Normal"/>
    <w:qFormat/>
    <w:rsid w:val="00F827D3"/>
    <w:pPr>
      <w:spacing w:before="60" w:after="120"/>
      <w:jc w:val="center"/>
    </w:pPr>
    <w:rPr>
      <w:i/>
    </w:rPr>
  </w:style>
  <w:style w:type="paragraph" w:customStyle="1" w:styleId="VSHeadingPrime">
    <w:name w:val="VS Heading Prime"/>
    <w:basedOn w:val="Normal"/>
    <w:next w:val="VSParagraphtext"/>
    <w:qFormat/>
    <w:rsid w:val="00F827D3"/>
    <w:pPr>
      <w:spacing w:after="60"/>
      <w:contextualSpacing/>
    </w:pPr>
    <w:rPr>
      <w:rFonts w:ascii="Arial" w:hAnsi="Arial" w:cs="Arial"/>
      <w:b/>
      <w:caps/>
      <w:sz w:val="28"/>
      <w:szCs w:val="28"/>
    </w:rPr>
  </w:style>
  <w:style w:type="paragraph" w:customStyle="1" w:styleId="VSParagraphObjectivebullet">
    <w:name w:val="VS Paragraph/Objective bullet"/>
    <w:basedOn w:val="Normal"/>
    <w:qFormat/>
    <w:rsid w:val="00B9774A"/>
    <w:pPr>
      <w:numPr>
        <w:numId w:val="1"/>
      </w:numPr>
      <w:spacing w:after="60"/>
      <w:ind w:left="634"/>
    </w:pPr>
  </w:style>
  <w:style w:type="paragraph" w:customStyle="1" w:styleId="VSStep">
    <w:name w:val="VS Step"/>
    <w:basedOn w:val="Normal"/>
    <w:qFormat/>
    <w:rsid w:val="00991F7C"/>
    <w:pPr>
      <w:numPr>
        <w:numId w:val="26"/>
      </w:numPr>
      <w:spacing w:after="180"/>
    </w:pPr>
  </w:style>
  <w:style w:type="paragraph" w:customStyle="1" w:styleId="VSTitle">
    <w:name w:val="VS Title"/>
    <w:basedOn w:val="Normal"/>
    <w:qFormat/>
    <w:rsid w:val="00F827D3"/>
    <w:pPr>
      <w:spacing w:after="480"/>
      <w:jc w:val="center"/>
    </w:pPr>
    <w:rPr>
      <w:rFonts w:ascii="Arial" w:hAnsi="Arial" w:cs="Arial"/>
      <w:b/>
      <w:sz w:val="48"/>
      <w:szCs w:val="48"/>
    </w:rPr>
  </w:style>
  <w:style w:type="paragraph" w:customStyle="1" w:styleId="VSTabletextleft">
    <w:name w:val="VS Table text left"/>
    <w:basedOn w:val="Normal"/>
    <w:qFormat/>
    <w:rsid w:val="00F827D3"/>
    <w:pPr>
      <w:spacing w:before="60" w:after="60"/>
    </w:pPr>
    <w:rPr>
      <w:rFonts w:ascii="Arial" w:hAnsi="Arial" w:cs="Arial"/>
      <w:sz w:val="20"/>
    </w:rPr>
  </w:style>
  <w:style w:type="paragraph" w:customStyle="1" w:styleId="VSMaterialslistitem">
    <w:name w:val="VS Materials list item"/>
    <w:basedOn w:val="Normal"/>
    <w:qFormat/>
    <w:rsid w:val="00F827D3"/>
    <w:pPr>
      <w:ind w:left="1080" w:hanging="450"/>
    </w:pPr>
  </w:style>
  <w:style w:type="paragraph" w:customStyle="1" w:styleId="VSSpacer">
    <w:name w:val="VS Spacer"/>
    <w:basedOn w:val="Normal"/>
    <w:qFormat/>
    <w:rsid w:val="00F827D3"/>
  </w:style>
  <w:style w:type="paragraph" w:customStyle="1" w:styleId="VSFigure">
    <w:name w:val="VS Figure"/>
    <w:basedOn w:val="Normal"/>
    <w:qFormat/>
    <w:rsid w:val="00F827D3"/>
    <w:pPr>
      <w:spacing w:after="120"/>
      <w:jc w:val="center"/>
    </w:pPr>
  </w:style>
  <w:style w:type="paragraph" w:customStyle="1" w:styleId="VSHeadingsub1">
    <w:name w:val="VS Heading sub 1"/>
    <w:basedOn w:val="Normal"/>
    <w:qFormat/>
    <w:rsid w:val="00F827D3"/>
    <w:rPr>
      <w:rFonts w:ascii="Arial" w:hAnsi="Arial" w:cs="Arial"/>
      <w:b/>
      <w:sz w:val="20"/>
    </w:rPr>
  </w:style>
  <w:style w:type="paragraph" w:customStyle="1" w:styleId="VSHeadingsub2">
    <w:name w:val="VS Heading sub 2"/>
    <w:basedOn w:val="Normal"/>
    <w:qFormat/>
    <w:rsid w:val="00903199"/>
    <w:pPr>
      <w:ind w:left="504"/>
    </w:pPr>
    <w:rPr>
      <w:rFonts w:ascii="Arial" w:hAnsi="Arial" w:cs="Arial"/>
      <w:sz w:val="20"/>
    </w:rPr>
  </w:style>
  <w:style w:type="paragraph" w:customStyle="1" w:styleId="VSTabletextcenter">
    <w:name w:val="VS Table text center"/>
    <w:basedOn w:val="VSTabletextleft"/>
    <w:qFormat/>
    <w:rsid w:val="00F827D3"/>
    <w:pPr>
      <w:jc w:val="center"/>
    </w:pPr>
  </w:style>
  <w:style w:type="paragraph" w:customStyle="1" w:styleId="VSStepextratext">
    <w:name w:val="VS Step extra text"/>
    <w:basedOn w:val="Normal"/>
    <w:qFormat/>
    <w:rsid w:val="00CF609B"/>
    <w:pPr>
      <w:spacing w:after="240"/>
      <w:ind w:left="504"/>
    </w:pPr>
  </w:style>
  <w:style w:type="paragraph" w:customStyle="1" w:styleId="VSHeader">
    <w:name w:val="VS Header"/>
    <w:basedOn w:val="Header"/>
    <w:qFormat/>
    <w:rsid w:val="00F827D3"/>
    <w:pPr>
      <w:jc w:val="right"/>
    </w:pPr>
    <w:rPr>
      <w:sz w:val="32"/>
      <w:szCs w:val="32"/>
    </w:rPr>
  </w:style>
  <w:style w:type="paragraph" w:customStyle="1" w:styleId="VSHeadingSecondary">
    <w:name w:val="VS Heading Secondary"/>
    <w:basedOn w:val="Normal"/>
    <w:qFormat/>
    <w:rsid w:val="00F827D3"/>
    <w:rPr>
      <w:rFonts w:ascii="Arial" w:hAnsi="Arial" w:cs="Arial"/>
      <w:b/>
      <w:szCs w:val="24"/>
    </w:rPr>
  </w:style>
  <w:style w:type="paragraph" w:customStyle="1" w:styleId="VSIndexitem">
    <w:name w:val="VS Index item"/>
    <w:basedOn w:val="Normal"/>
    <w:qFormat/>
    <w:rsid w:val="00F827D3"/>
  </w:style>
  <w:style w:type="paragraph" w:customStyle="1" w:styleId="VSFooter">
    <w:name w:val="VS Footer"/>
    <w:basedOn w:val="Normal"/>
    <w:qFormat/>
    <w:rsid w:val="00F827D3"/>
    <w:pPr>
      <w:tabs>
        <w:tab w:val="left" w:pos="3600"/>
        <w:tab w:val="right" w:pos="9360"/>
      </w:tabs>
    </w:pPr>
    <w:rPr>
      <w:b/>
    </w:rPr>
  </w:style>
  <w:style w:type="paragraph" w:customStyle="1" w:styleId="VSStepabc">
    <w:name w:val="VS Step abc"/>
    <w:basedOn w:val="Normal"/>
    <w:rsid w:val="00F827D3"/>
    <w:pPr>
      <w:numPr>
        <w:numId w:val="5"/>
      </w:numPr>
      <w:tabs>
        <w:tab w:val="left" w:pos="900"/>
      </w:tabs>
      <w:spacing w:after="120"/>
    </w:pPr>
  </w:style>
  <w:style w:type="paragraph" w:customStyle="1" w:styleId="VSStepabcextratext">
    <w:name w:val="VS Step abc extra text"/>
    <w:basedOn w:val="Normal"/>
    <w:rsid w:val="00F827D3"/>
    <w:pPr>
      <w:overflowPunct w:val="0"/>
      <w:autoSpaceDE w:val="0"/>
      <w:autoSpaceDN w:val="0"/>
      <w:adjustRightInd w:val="0"/>
      <w:spacing w:after="120" w:line="240" w:lineRule="exact"/>
      <w:ind w:left="900"/>
      <w:textAlignment w:val="baseline"/>
    </w:pPr>
    <w:rPr>
      <w:rFonts w:eastAsia="Times New Roman"/>
    </w:rPr>
  </w:style>
  <w:style w:type="paragraph" w:customStyle="1" w:styleId="VSStepbullet">
    <w:name w:val="VS Step bullet"/>
    <w:basedOn w:val="Normal"/>
    <w:qFormat/>
    <w:rsid w:val="00B9774A"/>
    <w:pPr>
      <w:numPr>
        <w:numId w:val="16"/>
      </w:numPr>
      <w:spacing w:after="60"/>
    </w:pPr>
  </w:style>
  <w:style w:type="character" w:customStyle="1" w:styleId="apple-converted-space">
    <w:name w:val="apple-converted-space"/>
    <w:basedOn w:val="DefaultParagraphFont"/>
    <w:rsid w:val="002E3CDD"/>
  </w:style>
  <w:style w:type="paragraph" w:customStyle="1" w:styleId="VSParagraphText0">
    <w:name w:val="VS Paragraph Text"/>
    <w:basedOn w:val="Normal"/>
    <w:rsid w:val="00DC6DF5"/>
    <w:pPr>
      <w:tabs>
        <w:tab w:val="left" w:pos="360"/>
      </w:tabs>
      <w:overflowPunct w:val="0"/>
      <w:autoSpaceDE w:val="0"/>
      <w:autoSpaceDN w:val="0"/>
      <w:adjustRightInd w:val="0"/>
      <w:spacing w:after="240" w:line="250" w:lineRule="exact"/>
      <w:textAlignment w:val="baseline"/>
    </w:pPr>
    <w:rPr>
      <w:rFonts w:eastAsia="Times New Roman"/>
      <w:color w:val="000000"/>
    </w:rPr>
  </w:style>
  <w:style w:type="paragraph" w:customStyle="1" w:styleId="VSStepstext10">
    <w:name w:val="VS Steps text 10+"/>
    <w:basedOn w:val="Normal"/>
    <w:rsid w:val="00DC6DF5"/>
    <w:pPr>
      <w:suppressLineNumbers/>
      <w:tabs>
        <w:tab w:val="right" w:pos="180"/>
      </w:tabs>
      <w:overflowPunct w:val="0"/>
      <w:autoSpaceDE w:val="0"/>
      <w:autoSpaceDN w:val="0"/>
      <w:adjustRightInd w:val="0"/>
      <w:spacing w:after="240" w:line="240" w:lineRule="exact"/>
      <w:ind w:left="360" w:hanging="547"/>
      <w:textAlignment w:val="baseline"/>
    </w:pPr>
    <w:rPr>
      <w:rFonts w:eastAsia="Times New Roman"/>
      <w:color w:val="000000"/>
    </w:rPr>
  </w:style>
  <w:style w:type="paragraph" w:styleId="NormalWeb">
    <w:name w:val="Normal (Web)"/>
    <w:basedOn w:val="Normal"/>
    <w:uiPriority w:val="99"/>
    <w:semiHidden/>
    <w:unhideWhenUsed/>
    <w:rsid w:val="0099764F"/>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606">
      <w:bodyDiv w:val="1"/>
      <w:marLeft w:val="0"/>
      <w:marRight w:val="0"/>
      <w:marTop w:val="0"/>
      <w:marBottom w:val="0"/>
      <w:divBdr>
        <w:top w:val="none" w:sz="0" w:space="0" w:color="auto"/>
        <w:left w:val="none" w:sz="0" w:space="0" w:color="auto"/>
        <w:bottom w:val="none" w:sz="0" w:space="0" w:color="auto"/>
        <w:right w:val="none" w:sz="0" w:space="0" w:color="auto"/>
      </w:divBdr>
    </w:div>
    <w:div w:id="1013606838">
      <w:bodyDiv w:val="1"/>
      <w:marLeft w:val="0"/>
      <w:marRight w:val="0"/>
      <w:marTop w:val="0"/>
      <w:marBottom w:val="0"/>
      <w:divBdr>
        <w:top w:val="none" w:sz="0" w:space="0" w:color="auto"/>
        <w:left w:val="none" w:sz="0" w:space="0" w:color="auto"/>
        <w:bottom w:val="none" w:sz="0" w:space="0" w:color="auto"/>
        <w:right w:val="none" w:sz="0" w:space="0" w:color="auto"/>
      </w:divBdr>
    </w:div>
    <w:div w:id="1224029142">
      <w:bodyDiv w:val="1"/>
      <w:marLeft w:val="0"/>
      <w:marRight w:val="0"/>
      <w:marTop w:val="0"/>
      <w:marBottom w:val="0"/>
      <w:divBdr>
        <w:top w:val="none" w:sz="0" w:space="0" w:color="auto"/>
        <w:left w:val="none" w:sz="0" w:space="0" w:color="auto"/>
        <w:bottom w:val="none" w:sz="0" w:space="0" w:color="auto"/>
        <w:right w:val="none" w:sz="0" w:space="0" w:color="auto"/>
      </w:divBdr>
    </w:div>
    <w:div w:id="1687291793">
      <w:bodyDiv w:val="1"/>
      <w:marLeft w:val="0"/>
      <w:marRight w:val="0"/>
      <w:marTop w:val="0"/>
      <w:marBottom w:val="0"/>
      <w:divBdr>
        <w:top w:val="none" w:sz="0" w:space="0" w:color="auto"/>
        <w:left w:val="none" w:sz="0" w:space="0" w:color="auto"/>
        <w:bottom w:val="none" w:sz="0" w:space="0" w:color="auto"/>
        <w:right w:val="none" w:sz="0" w:space="0" w:color="auto"/>
      </w:divBdr>
      <w:divsChild>
        <w:div w:id="1942227083">
          <w:marLeft w:val="274"/>
          <w:marRight w:val="0"/>
          <w:marTop w:val="0"/>
          <w:marBottom w:val="0"/>
          <w:divBdr>
            <w:top w:val="none" w:sz="0" w:space="0" w:color="auto"/>
            <w:left w:val="none" w:sz="0" w:space="0" w:color="auto"/>
            <w:bottom w:val="none" w:sz="0" w:space="0" w:color="auto"/>
            <w:right w:val="none" w:sz="0" w:space="0" w:color="auto"/>
          </w:divBdr>
        </w:div>
        <w:div w:id="1911114760">
          <w:marLeft w:val="274"/>
          <w:marRight w:val="0"/>
          <w:marTop w:val="0"/>
          <w:marBottom w:val="0"/>
          <w:divBdr>
            <w:top w:val="none" w:sz="0" w:space="0" w:color="auto"/>
            <w:left w:val="none" w:sz="0" w:space="0" w:color="auto"/>
            <w:bottom w:val="none" w:sz="0" w:space="0" w:color="auto"/>
            <w:right w:val="none" w:sz="0" w:space="0" w:color="auto"/>
          </w:divBdr>
        </w:div>
      </w:divsChild>
    </w:div>
    <w:div w:id="1770854002">
      <w:bodyDiv w:val="1"/>
      <w:marLeft w:val="0"/>
      <w:marRight w:val="0"/>
      <w:marTop w:val="0"/>
      <w:marBottom w:val="0"/>
      <w:divBdr>
        <w:top w:val="none" w:sz="0" w:space="0" w:color="auto"/>
        <w:left w:val="none" w:sz="0" w:space="0" w:color="auto"/>
        <w:bottom w:val="none" w:sz="0" w:space="0" w:color="auto"/>
        <w:right w:val="none" w:sz="0" w:space="0" w:color="auto"/>
      </w:divBdr>
      <w:divsChild>
        <w:div w:id="299460291">
          <w:marLeft w:val="274"/>
          <w:marRight w:val="0"/>
          <w:marTop w:val="0"/>
          <w:marBottom w:val="0"/>
          <w:divBdr>
            <w:top w:val="none" w:sz="0" w:space="0" w:color="auto"/>
            <w:left w:val="none" w:sz="0" w:space="0" w:color="auto"/>
            <w:bottom w:val="none" w:sz="0" w:space="0" w:color="auto"/>
            <w:right w:val="none" w:sz="0" w:space="0" w:color="auto"/>
          </w:divBdr>
        </w:div>
        <w:div w:id="272521081">
          <w:marLeft w:val="274"/>
          <w:marRight w:val="0"/>
          <w:marTop w:val="0"/>
          <w:marBottom w:val="0"/>
          <w:divBdr>
            <w:top w:val="none" w:sz="0" w:space="0" w:color="auto"/>
            <w:left w:val="none" w:sz="0" w:space="0" w:color="auto"/>
            <w:bottom w:val="none" w:sz="0" w:space="0" w:color="auto"/>
            <w:right w:val="none" w:sz="0" w:space="0" w:color="auto"/>
          </w:divBdr>
        </w:div>
      </w:divsChild>
    </w:div>
    <w:div w:id="179243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10</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Nam</dc:creator>
  <cp:lastModifiedBy>Melissa Hill</cp:lastModifiedBy>
  <cp:revision>15</cp:revision>
  <cp:lastPrinted>2018-01-30T21:35:00Z</cp:lastPrinted>
  <dcterms:created xsi:type="dcterms:W3CDTF">2016-12-07T19:47:00Z</dcterms:created>
  <dcterms:modified xsi:type="dcterms:W3CDTF">2018-02-09T19:51:00Z</dcterms:modified>
</cp:coreProperties>
</file>