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5E" w:rsidRDefault="00E12531">
      <w:pPr>
        <w:pStyle w:val="pimgRightUpper"/>
      </w:pPr>
      <w:r>
        <w:rPr>
          <w:noProof/>
        </w:rPr>
        <w:drawing>
          <wp:inline distT="0" distB="0" distL="0" distR="0">
            <wp:extent cx="1237615" cy="890270"/>
            <wp:effectExtent l="1905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srcRect/>
                    <a:stretch>
                      <a:fillRect/>
                    </a:stretch>
                  </pic:blipFill>
                  <pic:spPr bwMode="auto">
                    <a:xfrm>
                      <a:off x="0" y="0"/>
                      <a:ext cx="1237615" cy="890270"/>
                    </a:xfrm>
                    <a:prstGeom prst="rect">
                      <a:avLst/>
                    </a:prstGeom>
                    <a:solidFill>
                      <a:srgbClr val="FFFFFF"/>
                    </a:solidFill>
                    <a:ln w="9525">
                      <a:noFill/>
                      <a:miter lim="800000"/>
                      <a:headEnd/>
                      <a:tailEnd/>
                    </a:ln>
                  </pic:spPr>
                </pic:pic>
              </a:graphicData>
            </a:graphic>
          </wp:inline>
        </w:drawing>
      </w:r>
    </w:p>
    <w:p w:rsidR="002D7D5E" w:rsidRDefault="0017029E">
      <w:pPr>
        <w:pStyle w:val="h1Index"/>
      </w:pPr>
      <w:r>
        <w:rPr>
          <w:color w:val="000000"/>
        </w:rPr>
        <w:t>Hand Dynamometer</w:t>
      </w:r>
    </w:p>
    <w:p w:rsidR="002D7D5E" w:rsidRDefault="0017029E">
      <w:pPr>
        <w:pStyle w:val="pSensorOrderCode"/>
      </w:pPr>
      <w:r>
        <w:rPr>
          <w:color w:val="000000"/>
        </w:rPr>
        <w:t>(Order Code HD-BTA)</w:t>
      </w:r>
    </w:p>
    <w:p w:rsidR="002D7D5E" w:rsidRDefault="0017029E">
      <w:pPr>
        <w:pStyle w:val="p"/>
      </w:pPr>
      <w:r>
        <w:rPr>
          <w:color w:val="000000"/>
        </w:rPr>
        <w:t>The Hand Dynamometer can be used to measure grip strength or pinch strength and to perform muscle fatigue studies. Using the appropriate data-collection hardware and software, you can graph, record, calculate, and compare hand grip muscle fatigue rates. This sensor can be used alone or in combination with other sensors (e.g., EKG Sensor) for studies of muscular health and activity.</w:t>
      </w:r>
    </w:p>
    <w:p w:rsidR="002D7D5E" w:rsidRDefault="0017029E">
      <w:pPr>
        <w:pStyle w:val="pNote"/>
      </w:pPr>
      <w:r>
        <w:rPr>
          <w:rStyle w:val="b"/>
        </w:rPr>
        <w:t>Note:</w:t>
      </w:r>
      <w:r>
        <w:rPr>
          <w:color w:val="000000"/>
        </w:rPr>
        <w:t xml:space="preserve"> Vernier products are designed for educational use. Our products are not designed nor are they recommended for any industrial, medical, or commercial process such as life support, patient diagnosis, control of a manufacturing process, or industrial testing of any kind.</w:t>
      </w:r>
    </w:p>
    <w:p w:rsidR="002D7D5E" w:rsidRDefault="0017029E">
      <w:pPr>
        <w:pStyle w:val="h2"/>
      </w:pPr>
      <w:r>
        <w:rPr>
          <w:color w:val="000000"/>
        </w:rPr>
        <w:t>What's Included</w:t>
      </w:r>
    </w:p>
    <w:p w:rsidR="002D7D5E" w:rsidRDefault="0017029E">
      <w:pPr>
        <w:pStyle w:val="li"/>
        <w:numPr>
          <w:ilvl w:val="0"/>
          <w:numId w:val="1"/>
        </w:numPr>
        <w:spacing w:after="133"/>
      </w:pPr>
      <w:r>
        <w:rPr>
          <w:color w:val="000000"/>
        </w:rPr>
        <w:t>Hand Dynamometer</w:t>
      </w:r>
    </w:p>
    <w:p w:rsidR="002D7D5E" w:rsidRDefault="0017029E">
      <w:pPr>
        <w:pStyle w:val="h2"/>
      </w:pPr>
      <w:r>
        <w:rPr>
          <w:color w:val="000000"/>
        </w:rPr>
        <w:t>Compatible Software and Interfaces</w:t>
      </w:r>
    </w:p>
    <w:p w:rsidR="002D7D5E" w:rsidRDefault="0017029E">
      <w:pPr>
        <w:pStyle w:val="p"/>
      </w:pPr>
      <w:r>
        <w:rPr>
          <w:color w:val="000000"/>
        </w:rPr>
        <w:t xml:space="preserve">See </w:t>
      </w:r>
      <w:hyperlink r:id="rId8" w:history="1">
        <w:r>
          <w:rPr>
            <w:rFonts w:ascii="Arial" w:hAnsi="Arial" w:cs="Arial"/>
            <w:b/>
            <w:bCs/>
            <w:color w:val="000000"/>
            <w:sz w:val="16"/>
            <w:szCs w:val="16"/>
          </w:rPr>
          <w:t>www.vernier.com/manuals/hd-bta</w:t>
        </w:r>
      </w:hyperlink>
      <w:r>
        <w:rPr>
          <w:color w:val="000000"/>
        </w:rPr>
        <w:t xml:space="preserve"> for a list of interfaces and software compatible with the Hand Dynamometer.</w:t>
      </w:r>
    </w:p>
    <w:p w:rsidR="002D7D5E" w:rsidRDefault="0017029E">
      <w:pPr>
        <w:pStyle w:val="h2"/>
      </w:pPr>
      <w:r>
        <w:rPr>
          <w:color w:val="000000"/>
        </w:rPr>
        <w:t>Getting Started</w:t>
      </w:r>
    </w:p>
    <w:p w:rsidR="002D7D5E" w:rsidRDefault="0017029E">
      <w:pPr>
        <w:pStyle w:val="li"/>
        <w:numPr>
          <w:ilvl w:val="0"/>
          <w:numId w:val="2"/>
        </w:numPr>
      </w:pPr>
      <w:r>
        <w:rPr>
          <w:color w:val="000000"/>
        </w:rPr>
        <w:t>Connect the sensor to the interface (LabQuest Mini, LabQuest 2, etc.).</w:t>
      </w:r>
    </w:p>
    <w:p w:rsidR="002D7D5E" w:rsidRDefault="0017029E">
      <w:pPr>
        <w:pStyle w:val="li"/>
        <w:numPr>
          <w:ilvl w:val="0"/>
          <w:numId w:val="2"/>
        </w:numPr>
        <w:spacing w:after="133"/>
      </w:pPr>
      <w:r>
        <w:rPr>
          <w:color w:val="000000"/>
        </w:rPr>
        <w:t xml:space="preserve">Start the appropriate data-collection software (Logger </w:t>
      </w:r>
      <w:r>
        <w:rPr>
          <w:rStyle w:val="i"/>
        </w:rPr>
        <w:t>Pro</w:t>
      </w:r>
      <w:r>
        <w:rPr>
          <w:color w:val="000000"/>
        </w:rPr>
        <w:t>, Logger Lite, LabQuest App) if not already running, and choose New from File menu.</w:t>
      </w:r>
    </w:p>
    <w:p w:rsidR="002D7D5E" w:rsidRDefault="0017029E">
      <w:pPr>
        <w:pStyle w:val="p"/>
      </w:pPr>
      <w:r>
        <w:rPr>
          <w:color w:val="000000"/>
        </w:rPr>
        <w:t>The software will identify the sensor and load a default data-collection setup. You are now ready to continue your experiment.</w:t>
      </w:r>
    </w:p>
    <w:p w:rsidR="002D7D5E" w:rsidRDefault="0017029E">
      <w:pPr>
        <w:pStyle w:val="p"/>
      </w:pPr>
      <w:r>
        <w:rPr>
          <w:color w:val="000000"/>
        </w:rPr>
        <w:t>If you are collecting data using a Chromebook™, mobile device such as iPad</w:t>
      </w:r>
      <w:r>
        <w:rPr>
          <w:rStyle w:val="sup"/>
        </w:rPr>
        <w:t>®</w:t>
      </w:r>
      <w:r>
        <w:rPr>
          <w:color w:val="000000"/>
        </w:rPr>
        <w:t xml:space="preserve"> or Android™ tablet, or a Vernier wireless sensor or interface, please see the following link for up-to-date connection information:</w:t>
      </w:r>
    </w:p>
    <w:p w:rsidR="002D7D5E" w:rsidRDefault="00A72B42">
      <w:pPr>
        <w:pStyle w:val="p"/>
        <w:jc w:val="center"/>
      </w:pPr>
      <w:hyperlink r:id="rId9" w:history="1">
        <w:r w:rsidR="0017029E">
          <w:rPr>
            <w:rFonts w:ascii="Arial" w:hAnsi="Arial" w:cs="Arial"/>
            <w:b/>
            <w:bCs/>
            <w:color w:val="000000"/>
            <w:sz w:val="16"/>
            <w:szCs w:val="16"/>
          </w:rPr>
          <w:t>www.vernier.com/start/hd-bta</w:t>
        </w:r>
      </w:hyperlink>
    </w:p>
    <w:p w:rsidR="002D7D5E" w:rsidRDefault="0017029E">
      <w:pPr>
        <w:pStyle w:val="h2"/>
      </w:pPr>
      <w:r>
        <w:rPr>
          <w:color w:val="000000"/>
        </w:rPr>
        <w:t>Using the Product</w:t>
      </w:r>
    </w:p>
    <w:p w:rsidR="002D7D5E" w:rsidRDefault="0017029E">
      <w:pPr>
        <w:pStyle w:val="p"/>
      </w:pPr>
      <w:r>
        <w:rPr>
          <w:color w:val="000000"/>
        </w:rPr>
        <w:t>Connect the sensor following the steps in the Getting Started section of this user manual.</w:t>
      </w:r>
    </w:p>
    <w:p w:rsidR="002D7D5E" w:rsidRDefault="0017029E">
      <w:pPr>
        <w:pStyle w:val="p"/>
      </w:pPr>
      <w:r>
        <w:rPr>
          <w:color w:val="000000"/>
        </w:rPr>
        <w:t>The Hand Dynamometer can be used to measure grip strength or pinch strength.</w:t>
      </w:r>
    </w:p>
    <w:p w:rsidR="002D7D5E" w:rsidRDefault="0017029E">
      <w:pPr>
        <w:pStyle w:val="p"/>
      </w:pPr>
      <w:r>
        <w:rPr>
          <w:color w:val="000000"/>
        </w:rPr>
        <w:lastRenderedPageBreak/>
        <w:t>Grip strength is assessed holding the sensor in a vertical position with the arm perpendicular to the body and fingers on the pad distal to the longer proximal portion to which the palm is pressed. Strength can be measured by applying pressure for a series of short grasps or over a sustained duration.</w:t>
      </w:r>
    </w:p>
    <w:p w:rsidR="002D7D5E" w:rsidRDefault="00E12531">
      <w:pPr>
        <w:pStyle w:val="divimage-centered"/>
      </w:pPr>
      <w:r>
        <w:rPr>
          <w:noProof/>
        </w:rPr>
        <w:drawing>
          <wp:inline distT="0" distB="0" distL="0" distR="0">
            <wp:extent cx="597535" cy="95123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10" cstate="print"/>
                    <a:srcRect/>
                    <a:stretch>
                      <a:fillRect/>
                    </a:stretch>
                  </pic:blipFill>
                  <pic:spPr bwMode="auto">
                    <a:xfrm>
                      <a:off x="0" y="0"/>
                      <a:ext cx="597535" cy="951230"/>
                    </a:xfrm>
                    <a:prstGeom prst="rect">
                      <a:avLst/>
                    </a:prstGeom>
                    <a:solidFill>
                      <a:srgbClr val="FFFFFF"/>
                    </a:solidFill>
                    <a:ln w="9525">
                      <a:noFill/>
                      <a:miter lim="800000"/>
                      <a:headEnd/>
                      <a:tailEnd/>
                    </a:ln>
                  </pic:spPr>
                </pic:pic>
              </a:graphicData>
            </a:graphic>
          </wp:inline>
        </w:drawing>
      </w:r>
    </w:p>
    <w:p w:rsidR="002D7D5E" w:rsidRDefault="0017029E">
      <w:pPr>
        <w:pStyle w:val="p"/>
      </w:pPr>
      <w:r>
        <w:rPr>
          <w:color w:val="000000"/>
        </w:rPr>
        <w:t>Pinch strength is assessed by placing the sensor on a flat horizontal surface with the pinch sensor pads in a vertical alignment, extending beyond the table plane. Using your thumb and forefinger, place each on the respective opposing pinch pads and press.</w:t>
      </w:r>
    </w:p>
    <w:p w:rsidR="002D7D5E" w:rsidRDefault="00E12531">
      <w:pPr>
        <w:pStyle w:val="divimage-centered"/>
      </w:pPr>
      <w:r>
        <w:rPr>
          <w:noProof/>
        </w:rPr>
        <w:drawing>
          <wp:inline distT="0" distB="0" distL="0" distR="0">
            <wp:extent cx="1402080" cy="743585"/>
            <wp:effectExtent l="19050" t="0" r="762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1" cstate="print"/>
                    <a:srcRect/>
                    <a:stretch>
                      <a:fillRect/>
                    </a:stretch>
                  </pic:blipFill>
                  <pic:spPr bwMode="auto">
                    <a:xfrm>
                      <a:off x="0" y="0"/>
                      <a:ext cx="1402080" cy="743585"/>
                    </a:xfrm>
                    <a:prstGeom prst="rect">
                      <a:avLst/>
                    </a:prstGeom>
                    <a:solidFill>
                      <a:srgbClr val="FFFFFF"/>
                    </a:solidFill>
                    <a:ln w="9525">
                      <a:noFill/>
                      <a:miter lim="800000"/>
                      <a:headEnd/>
                      <a:tailEnd/>
                    </a:ln>
                  </pic:spPr>
                </pic:pic>
              </a:graphicData>
            </a:graphic>
          </wp:inline>
        </w:drawing>
      </w:r>
    </w:p>
    <w:p w:rsidR="002D7D5E" w:rsidRDefault="0017029E">
      <w:pPr>
        <w:pStyle w:val="h3"/>
      </w:pPr>
      <w:r>
        <w:rPr>
          <w:color w:val="000000"/>
        </w:rPr>
        <w:t>Potential Uses for this Sensor</w:t>
      </w:r>
    </w:p>
    <w:p w:rsidR="002D7D5E" w:rsidRDefault="0017029E">
      <w:pPr>
        <w:pStyle w:val="p"/>
      </w:pPr>
      <w:r>
        <w:rPr>
          <w:color w:val="000000"/>
        </w:rPr>
        <w:t>The following is a list of activities and experiments that can be performed using this sensor.</w:t>
      </w:r>
    </w:p>
    <w:p w:rsidR="002D7D5E" w:rsidRDefault="0017029E">
      <w:pPr>
        <w:pStyle w:val="li"/>
        <w:numPr>
          <w:ilvl w:val="0"/>
          <w:numId w:val="3"/>
        </w:numPr>
      </w:pPr>
      <w:r>
        <w:rPr>
          <w:color w:val="000000"/>
        </w:rPr>
        <w:t xml:space="preserve">Determine if grip and pinch strength are a function of age. </w:t>
      </w:r>
    </w:p>
    <w:p w:rsidR="002D7D5E" w:rsidRDefault="0017029E">
      <w:pPr>
        <w:pStyle w:val="li"/>
        <w:numPr>
          <w:ilvl w:val="0"/>
          <w:numId w:val="3"/>
        </w:numPr>
      </w:pPr>
      <w:r>
        <w:rPr>
          <w:color w:val="000000"/>
        </w:rPr>
        <w:t>Compare hand grip strength with pinch strength. Devise and carry out a study to explore if there is a correlation between them.</w:t>
      </w:r>
    </w:p>
    <w:p w:rsidR="002D7D5E" w:rsidRDefault="0017029E">
      <w:pPr>
        <w:pStyle w:val="li"/>
        <w:numPr>
          <w:ilvl w:val="0"/>
          <w:numId w:val="3"/>
        </w:numPr>
      </w:pPr>
      <w:r>
        <w:rPr>
          <w:color w:val="000000"/>
        </w:rPr>
        <w:t>Measure muscle fatigue by exerting maximum grip strength and sustained grasp for as long as possible. Determine if muscle fatiguing time is similar for all participants and if there is variation between age groupings and gender. Predict the results of repeated trials for each member of the group.</w:t>
      </w:r>
    </w:p>
    <w:p w:rsidR="002D7D5E" w:rsidRDefault="0017029E">
      <w:pPr>
        <w:pStyle w:val="li"/>
        <w:numPr>
          <w:ilvl w:val="0"/>
          <w:numId w:val="3"/>
        </w:numPr>
      </w:pPr>
      <w:r>
        <w:rPr>
          <w:color w:val="000000"/>
        </w:rPr>
        <w:t xml:space="preserve">Measure the effect of squeezing a tennis ball repeatedly on grip strength. Squeeze the ball tightly each evening fifty times for a month. At the beginning of the month, measure and record your basal grip strength; at the end of the month, record your hand grip strength and analyze how these values compare. </w:t>
      </w:r>
    </w:p>
    <w:p w:rsidR="002D7D5E" w:rsidRDefault="0017029E">
      <w:pPr>
        <w:pStyle w:val="li"/>
        <w:numPr>
          <w:ilvl w:val="0"/>
          <w:numId w:val="3"/>
        </w:numPr>
      </w:pPr>
      <w:r>
        <w:rPr>
          <w:color w:val="000000"/>
        </w:rPr>
        <w:t xml:space="preserve"> Determine if there is a correlation between hand size and grip strength. Consider factors such as wrist and forearm circumference in relation to grip strength and which muscle complexes are involved in grip strength and pinch strength.</w:t>
      </w:r>
    </w:p>
    <w:p w:rsidR="002D7D5E" w:rsidRDefault="0017029E">
      <w:pPr>
        <w:pStyle w:val="li"/>
        <w:numPr>
          <w:ilvl w:val="0"/>
          <w:numId w:val="3"/>
        </w:numPr>
        <w:spacing w:after="133"/>
      </w:pPr>
      <w:r>
        <w:rPr>
          <w:color w:val="000000"/>
        </w:rPr>
        <w:t>Measure hand grip strength for dominant and non-dominant hands by gripping the dynamometer in a neutral non-supportive posture with the sensor in your non-dominant hand. Initiate data collection while holding the sensor with a neutral grip with eyes closed. Explore what accounts for the similarities and differences.</w:t>
      </w:r>
    </w:p>
    <w:p w:rsidR="002D7D5E" w:rsidRDefault="0017029E">
      <w:pPr>
        <w:pStyle w:val="divimage-centered"/>
      </w:pPr>
      <w:r>
        <w:rPr>
          <w:color w:val="000000"/>
        </w:rPr>
        <w:lastRenderedPageBreak/>
        <w:t> </w:t>
      </w:r>
      <w:r w:rsidR="00E12531">
        <w:rPr>
          <w:noProof/>
        </w:rPr>
        <w:drawing>
          <wp:inline distT="0" distB="0" distL="0" distR="0">
            <wp:extent cx="2286000" cy="1743710"/>
            <wp:effectExtent l="1905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2" cstate="print"/>
                    <a:srcRect/>
                    <a:stretch>
                      <a:fillRect/>
                    </a:stretch>
                  </pic:blipFill>
                  <pic:spPr bwMode="auto">
                    <a:xfrm>
                      <a:off x="0" y="0"/>
                      <a:ext cx="2286000" cy="1743710"/>
                    </a:xfrm>
                    <a:prstGeom prst="rect">
                      <a:avLst/>
                    </a:prstGeom>
                    <a:solidFill>
                      <a:srgbClr val="FFFFFF"/>
                    </a:solidFill>
                    <a:ln w="9525">
                      <a:noFill/>
                      <a:miter lim="800000"/>
                      <a:headEnd/>
                      <a:tailEnd/>
                    </a:ln>
                  </pic:spPr>
                </pic:pic>
              </a:graphicData>
            </a:graphic>
          </wp:inline>
        </w:drawing>
      </w:r>
    </w:p>
    <w:p w:rsidR="002D7D5E" w:rsidRDefault="0017029E">
      <w:pPr>
        <w:pStyle w:val="p1"/>
        <w:jc w:val="center"/>
      </w:pPr>
      <w:r>
        <w:rPr>
          <w:color w:val="000000"/>
        </w:rPr>
        <w:t>Muscle fatigue</w:t>
      </w:r>
    </w:p>
    <w:p w:rsidR="002D7D5E" w:rsidRDefault="0017029E">
      <w:pPr>
        <w:pStyle w:val="p1"/>
        <w:jc w:val="center"/>
      </w:pPr>
      <w:r>
        <w:rPr>
          <w:color w:val="000000"/>
        </w:rPr>
        <w:t> </w:t>
      </w:r>
    </w:p>
    <w:p w:rsidR="002D7D5E" w:rsidRDefault="00E12531">
      <w:pPr>
        <w:pStyle w:val="divimage-centered"/>
      </w:pPr>
      <w:r>
        <w:rPr>
          <w:noProof/>
        </w:rPr>
        <w:drawing>
          <wp:inline distT="0" distB="0" distL="0" distR="0">
            <wp:extent cx="2286000" cy="1713230"/>
            <wp:effectExtent l="1905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3" cstate="print"/>
                    <a:srcRect/>
                    <a:stretch>
                      <a:fillRect/>
                    </a:stretch>
                  </pic:blipFill>
                  <pic:spPr bwMode="auto">
                    <a:xfrm>
                      <a:off x="0" y="0"/>
                      <a:ext cx="2286000" cy="1713230"/>
                    </a:xfrm>
                    <a:prstGeom prst="rect">
                      <a:avLst/>
                    </a:prstGeom>
                    <a:solidFill>
                      <a:srgbClr val="FFFFFF"/>
                    </a:solidFill>
                    <a:ln w="9525">
                      <a:noFill/>
                      <a:miter lim="800000"/>
                      <a:headEnd/>
                      <a:tailEnd/>
                    </a:ln>
                  </pic:spPr>
                </pic:pic>
              </a:graphicData>
            </a:graphic>
          </wp:inline>
        </w:drawing>
      </w:r>
    </w:p>
    <w:p w:rsidR="002D7D5E" w:rsidRDefault="0017029E">
      <w:pPr>
        <w:pStyle w:val="p1"/>
        <w:jc w:val="center"/>
      </w:pPr>
      <w:r>
        <w:rPr>
          <w:rStyle w:val="i"/>
          <w:i/>
          <w:iCs/>
        </w:rPr>
        <w:t>Fatigue over time</w:t>
      </w:r>
    </w:p>
    <w:p w:rsidR="002D7D5E" w:rsidRDefault="0017029E">
      <w:pPr>
        <w:pStyle w:val="h2"/>
      </w:pPr>
      <w:r>
        <w:rPr>
          <w:color w:val="000000"/>
        </w:rPr>
        <w:t>Videos</w:t>
      </w:r>
    </w:p>
    <w:p w:rsidR="002D7D5E" w:rsidRDefault="0017029E">
      <w:pPr>
        <w:pStyle w:val="p"/>
      </w:pPr>
      <w:r>
        <w:rPr>
          <w:color w:val="000000"/>
        </w:rPr>
        <w:t xml:space="preserve">View videos related to this product at </w:t>
      </w:r>
      <w:hyperlink r:id="rId14" w:history="1">
        <w:r>
          <w:rPr>
            <w:rFonts w:ascii="Arial" w:hAnsi="Arial" w:cs="Arial"/>
            <w:b/>
            <w:bCs/>
            <w:color w:val="000000"/>
            <w:sz w:val="16"/>
            <w:szCs w:val="16"/>
          </w:rPr>
          <w:t>www.vernier.com/hd-bta</w:t>
        </w:r>
      </w:hyperlink>
    </w:p>
    <w:p w:rsidR="002D7D5E" w:rsidRDefault="0017029E">
      <w:pPr>
        <w:pStyle w:val="h2"/>
      </w:pPr>
      <w:r>
        <w:rPr>
          <w:color w:val="000000"/>
        </w:rPr>
        <w:t>Calibration</w:t>
      </w:r>
    </w:p>
    <w:p w:rsidR="002D7D5E" w:rsidRDefault="0017029E">
      <w:pPr>
        <w:pStyle w:val="p"/>
      </w:pPr>
      <w:r>
        <w:rPr>
          <w:color w:val="000000"/>
        </w:rPr>
        <w:t>You should not have to perform a new calibration when using the Hand Dynamometer. We have set the sensor to match our stored calibration before shipping it. You can simply use the appropriate calibration value that is stored in the data-collection program.</w:t>
      </w:r>
    </w:p>
    <w:p w:rsidR="002D7D5E" w:rsidRDefault="0017029E">
      <w:pPr>
        <w:pStyle w:val="h2"/>
        <w:pageBreakBefore/>
      </w:pPr>
      <w:r>
        <w:rPr>
          <w:color w:val="000000"/>
        </w:rPr>
        <w:lastRenderedPageBreak/>
        <w:t>Specifications</w:t>
      </w:r>
    </w:p>
    <w:tbl>
      <w:tblPr>
        <w:tblW w:w="5000" w:type="pct"/>
        <w:tblBorders>
          <w:top w:val="single" w:sz="6" w:space="0" w:color="696969"/>
          <w:left w:val="single" w:sz="6" w:space="0" w:color="696969"/>
          <w:bottom w:val="single" w:sz="6" w:space="0" w:color="696969"/>
          <w:right w:val="single" w:sz="6" w:space="0" w:color="696969"/>
        </w:tblBorders>
        <w:shd w:val="clear" w:color="auto" w:fill="FFFFFF"/>
        <w:tblCellMar>
          <w:left w:w="10" w:type="dxa"/>
          <w:right w:w="10" w:type="dxa"/>
        </w:tblCellMar>
        <w:tblLook w:val="04A0"/>
      </w:tblPr>
      <w:tblGrid>
        <w:gridCol w:w="5729"/>
        <w:gridCol w:w="1561"/>
      </w:tblGrid>
      <w:tr w:rsidR="002D7D5E">
        <w:tc>
          <w:tcPr>
            <w:tcW w:w="0" w:type="auto"/>
            <w:shd w:val="clear" w:color="auto" w:fill="E0DCDC"/>
            <w:tcMar>
              <w:top w:w="45" w:type="dxa"/>
              <w:left w:w="45" w:type="dxa"/>
              <w:bottom w:w="45" w:type="dxa"/>
              <w:right w:w="45" w:type="dxa"/>
            </w:tcMar>
          </w:tcPr>
          <w:p w:rsidR="002D7D5E" w:rsidRDefault="0017029E">
            <w:pPr>
              <w:pStyle w:val="p"/>
            </w:pPr>
            <w:r>
              <w:rPr>
                <w:color w:val="000000"/>
              </w:rPr>
              <w:t>Stored calibration (N)</w:t>
            </w:r>
          </w:p>
        </w:tc>
        <w:tc>
          <w:tcPr>
            <w:tcW w:w="0" w:type="auto"/>
            <w:shd w:val="clear" w:color="auto" w:fill="E0DCDC"/>
            <w:tcMar>
              <w:top w:w="45" w:type="dxa"/>
              <w:left w:w="45" w:type="dxa"/>
              <w:bottom w:w="45" w:type="dxa"/>
              <w:right w:w="45" w:type="dxa"/>
            </w:tcMar>
          </w:tcPr>
          <w:p w:rsidR="002D7D5E" w:rsidRDefault="0017029E">
            <w:pPr>
              <w:pStyle w:val="li1"/>
              <w:numPr>
                <w:ilvl w:val="0"/>
                <w:numId w:val="4"/>
              </w:numPr>
            </w:pPr>
            <w:r>
              <w:rPr>
                <w:color w:val="000000"/>
              </w:rPr>
              <w:t>slope: 175.416</w:t>
            </w:r>
          </w:p>
          <w:p w:rsidR="002D7D5E" w:rsidRDefault="0017029E">
            <w:pPr>
              <w:pStyle w:val="li1"/>
              <w:numPr>
                <w:ilvl w:val="0"/>
                <w:numId w:val="4"/>
              </w:numPr>
              <w:spacing w:after="133"/>
            </w:pPr>
            <w:r>
              <w:rPr>
                <w:color w:val="000000"/>
              </w:rPr>
              <w:t>intercept: –19.295</w:t>
            </w:r>
          </w:p>
        </w:tc>
      </w:tr>
      <w:tr w:rsidR="002D7D5E">
        <w:tc>
          <w:tcPr>
            <w:tcW w:w="0" w:type="auto"/>
            <w:shd w:val="clear" w:color="auto" w:fill="FFFFFF"/>
            <w:tcMar>
              <w:top w:w="45" w:type="dxa"/>
              <w:left w:w="45" w:type="dxa"/>
              <w:bottom w:w="45" w:type="dxa"/>
              <w:right w:w="45" w:type="dxa"/>
            </w:tcMar>
          </w:tcPr>
          <w:p w:rsidR="002D7D5E" w:rsidRDefault="0017029E">
            <w:pPr>
              <w:pStyle w:val="p"/>
            </w:pPr>
            <w:r>
              <w:rPr>
                <w:color w:val="000000"/>
              </w:rPr>
              <w:t>Stored calibration (kg)</w:t>
            </w:r>
          </w:p>
        </w:tc>
        <w:tc>
          <w:tcPr>
            <w:tcW w:w="0" w:type="auto"/>
            <w:shd w:val="clear" w:color="auto" w:fill="FFFFFF"/>
            <w:tcMar>
              <w:top w:w="45" w:type="dxa"/>
              <w:left w:w="45" w:type="dxa"/>
              <w:bottom w:w="45" w:type="dxa"/>
              <w:right w:w="45" w:type="dxa"/>
            </w:tcMar>
          </w:tcPr>
          <w:p w:rsidR="002D7D5E" w:rsidRDefault="0017029E">
            <w:pPr>
              <w:pStyle w:val="li1"/>
              <w:numPr>
                <w:ilvl w:val="0"/>
                <w:numId w:val="5"/>
              </w:numPr>
            </w:pPr>
            <w:r>
              <w:rPr>
                <w:color w:val="000000"/>
              </w:rPr>
              <w:t>slope: 17.8875</w:t>
            </w:r>
          </w:p>
          <w:p w:rsidR="002D7D5E" w:rsidRDefault="0017029E">
            <w:pPr>
              <w:pStyle w:val="li1"/>
              <w:numPr>
                <w:ilvl w:val="0"/>
                <w:numId w:val="5"/>
              </w:numPr>
              <w:spacing w:after="133"/>
            </w:pPr>
            <w:r>
              <w:rPr>
                <w:color w:val="000000"/>
              </w:rPr>
              <w:t>intercept: –1.9676</w:t>
            </w:r>
          </w:p>
        </w:tc>
      </w:tr>
      <w:tr w:rsidR="002D7D5E">
        <w:tc>
          <w:tcPr>
            <w:tcW w:w="0" w:type="auto"/>
            <w:shd w:val="clear" w:color="auto" w:fill="E0DCDC"/>
            <w:tcMar>
              <w:top w:w="45" w:type="dxa"/>
              <w:left w:w="45" w:type="dxa"/>
              <w:bottom w:w="45" w:type="dxa"/>
              <w:right w:w="45" w:type="dxa"/>
            </w:tcMar>
          </w:tcPr>
          <w:p w:rsidR="002D7D5E" w:rsidRDefault="0017029E">
            <w:pPr>
              <w:pStyle w:val="p"/>
            </w:pPr>
            <w:r>
              <w:rPr>
                <w:color w:val="000000"/>
              </w:rPr>
              <w:t>Stored calibration (lbs)</w:t>
            </w:r>
          </w:p>
        </w:tc>
        <w:tc>
          <w:tcPr>
            <w:tcW w:w="0" w:type="auto"/>
            <w:shd w:val="clear" w:color="auto" w:fill="E0DCDC"/>
            <w:tcMar>
              <w:top w:w="45" w:type="dxa"/>
              <w:left w:w="45" w:type="dxa"/>
              <w:bottom w:w="45" w:type="dxa"/>
              <w:right w:w="45" w:type="dxa"/>
            </w:tcMar>
          </w:tcPr>
          <w:p w:rsidR="002D7D5E" w:rsidRDefault="0017029E">
            <w:pPr>
              <w:pStyle w:val="li1"/>
              <w:numPr>
                <w:ilvl w:val="0"/>
                <w:numId w:val="6"/>
              </w:numPr>
            </w:pPr>
            <w:r>
              <w:rPr>
                <w:color w:val="000000"/>
              </w:rPr>
              <w:t>slope: 39.4351</w:t>
            </w:r>
          </w:p>
          <w:p w:rsidR="002D7D5E" w:rsidRDefault="0017029E">
            <w:pPr>
              <w:pStyle w:val="li1"/>
              <w:numPr>
                <w:ilvl w:val="0"/>
                <w:numId w:val="6"/>
              </w:numPr>
              <w:spacing w:after="133"/>
            </w:pPr>
            <w:r>
              <w:rPr>
                <w:color w:val="000000"/>
              </w:rPr>
              <w:t>intercept: –4.3379</w:t>
            </w:r>
          </w:p>
        </w:tc>
      </w:tr>
      <w:tr w:rsidR="002D7D5E">
        <w:tc>
          <w:tcPr>
            <w:tcW w:w="0" w:type="auto"/>
            <w:shd w:val="clear" w:color="auto" w:fill="FFFFFF"/>
            <w:tcMar>
              <w:top w:w="45" w:type="dxa"/>
              <w:left w:w="45" w:type="dxa"/>
              <w:bottom w:w="45" w:type="dxa"/>
              <w:right w:w="45" w:type="dxa"/>
            </w:tcMar>
          </w:tcPr>
          <w:p w:rsidR="002D7D5E" w:rsidRDefault="0017029E">
            <w:pPr>
              <w:pStyle w:val="p"/>
            </w:pPr>
            <w:r>
              <w:rPr>
                <w:color w:val="000000"/>
              </w:rPr>
              <w:t>Accuracy</w:t>
            </w:r>
          </w:p>
        </w:tc>
        <w:tc>
          <w:tcPr>
            <w:tcW w:w="0" w:type="auto"/>
            <w:shd w:val="clear" w:color="auto" w:fill="FFFFFF"/>
            <w:tcMar>
              <w:top w:w="45" w:type="dxa"/>
              <w:left w:w="45" w:type="dxa"/>
              <w:bottom w:w="45" w:type="dxa"/>
              <w:right w:w="45" w:type="dxa"/>
            </w:tcMar>
          </w:tcPr>
          <w:p w:rsidR="002D7D5E" w:rsidRDefault="0017029E">
            <w:pPr>
              <w:pStyle w:val="p"/>
            </w:pPr>
            <w:r>
              <w:rPr>
                <w:color w:val="000000"/>
              </w:rPr>
              <w:t>±0.6 N</w:t>
            </w:r>
          </w:p>
        </w:tc>
      </w:tr>
      <w:tr w:rsidR="002D7D5E">
        <w:tc>
          <w:tcPr>
            <w:tcW w:w="0" w:type="auto"/>
            <w:shd w:val="clear" w:color="auto" w:fill="E0DCDC"/>
            <w:tcMar>
              <w:top w:w="45" w:type="dxa"/>
              <w:left w:w="45" w:type="dxa"/>
              <w:bottom w:w="45" w:type="dxa"/>
              <w:right w:w="45" w:type="dxa"/>
            </w:tcMar>
          </w:tcPr>
          <w:p w:rsidR="002D7D5E" w:rsidRDefault="0017029E">
            <w:pPr>
              <w:pStyle w:val="p"/>
            </w:pPr>
            <w:r>
              <w:rPr>
                <w:color w:val="000000"/>
              </w:rPr>
              <w:t>12-bit resolution</w:t>
            </w:r>
          </w:p>
        </w:tc>
        <w:tc>
          <w:tcPr>
            <w:tcW w:w="0" w:type="auto"/>
            <w:shd w:val="clear" w:color="auto" w:fill="E0DCDC"/>
            <w:tcMar>
              <w:top w:w="45" w:type="dxa"/>
              <w:left w:w="45" w:type="dxa"/>
              <w:bottom w:w="45" w:type="dxa"/>
              <w:right w:w="45" w:type="dxa"/>
            </w:tcMar>
          </w:tcPr>
          <w:p w:rsidR="002D7D5E" w:rsidRDefault="0017029E">
            <w:pPr>
              <w:pStyle w:val="p"/>
            </w:pPr>
            <w:r>
              <w:rPr>
                <w:color w:val="000000"/>
              </w:rPr>
              <w:t xml:space="preserve">0.2141 N </w:t>
            </w:r>
          </w:p>
        </w:tc>
      </w:tr>
      <w:tr w:rsidR="002D7D5E">
        <w:tc>
          <w:tcPr>
            <w:tcW w:w="0" w:type="auto"/>
            <w:shd w:val="clear" w:color="auto" w:fill="FFFFFF"/>
            <w:tcMar>
              <w:top w:w="45" w:type="dxa"/>
              <w:left w:w="45" w:type="dxa"/>
              <w:bottom w:w="45" w:type="dxa"/>
              <w:right w:w="45" w:type="dxa"/>
            </w:tcMar>
          </w:tcPr>
          <w:p w:rsidR="002D7D5E" w:rsidRDefault="0017029E">
            <w:pPr>
              <w:pStyle w:val="p"/>
            </w:pPr>
            <w:r>
              <w:rPr>
                <w:color w:val="000000"/>
              </w:rPr>
              <w:t>Power</w:t>
            </w:r>
          </w:p>
        </w:tc>
        <w:tc>
          <w:tcPr>
            <w:tcW w:w="0" w:type="auto"/>
            <w:shd w:val="clear" w:color="auto" w:fill="FFFFFF"/>
            <w:tcMar>
              <w:top w:w="45" w:type="dxa"/>
              <w:left w:w="45" w:type="dxa"/>
              <w:bottom w:w="45" w:type="dxa"/>
              <w:right w:w="45" w:type="dxa"/>
            </w:tcMar>
          </w:tcPr>
          <w:p w:rsidR="002D7D5E" w:rsidRDefault="0017029E">
            <w:pPr>
              <w:pStyle w:val="p"/>
            </w:pPr>
            <w:r>
              <w:rPr>
                <w:color w:val="000000"/>
              </w:rPr>
              <w:t>7 mA @ 5VDC</w:t>
            </w:r>
          </w:p>
        </w:tc>
      </w:tr>
      <w:tr w:rsidR="002D7D5E">
        <w:tc>
          <w:tcPr>
            <w:tcW w:w="0" w:type="auto"/>
            <w:shd w:val="clear" w:color="auto" w:fill="E0DCDC"/>
            <w:tcMar>
              <w:top w:w="45" w:type="dxa"/>
              <w:left w:w="45" w:type="dxa"/>
              <w:bottom w:w="45" w:type="dxa"/>
              <w:right w:w="45" w:type="dxa"/>
            </w:tcMar>
          </w:tcPr>
          <w:p w:rsidR="002D7D5E" w:rsidRDefault="0017029E">
            <w:pPr>
              <w:pStyle w:val="p"/>
            </w:pPr>
            <w:r>
              <w:rPr>
                <w:color w:val="000000"/>
              </w:rPr>
              <w:t>Safety range (maximum force without damage to the sensor)</w:t>
            </w:r>
          </w:p>
        </w:tc>
        <w:tc>
          <w:tcPr>
            <w:tcW w:w="0" w:type="auto"/>
            <w:shd w:val="clear" w:color="auto" w:fill="E0DCDC"/>
            <w:tcMar>
              <w:top w:w="45" w:type="dxa"/>
              <w:left w:w="45" w:type="dxa"/>
              <w:bottom w:w="45" w:type="dxa"/>
              <w:right w:w="45" w:type="dxa"/>
            </w:tcMar>
          </w:tcPr>
          <w:p w:rsidR="002D7D5E" w:rsidRDefault="0017029E">
            <w:pPr>
              <w:pStyle w:val="p"/>
            </w:pPr>
            <w:r>
              <w:rPr>
                <w:color w:val="000000"/>
              </w:rPr>
              <w:t>0 to 850 N</w:t>
            </w:r>
          </w:p>
        </w:tc>
      </w:tr>
      <w:tr w:rsidR="002D7D5E">
        <w:tc>
          <w:tcPr>
            <w:tcW w:w="0" w:type="auto"/>
            <w:shd w:val="clear" w:color="auto" w:fill="FFFFFF"/>
            <w:tcMar>
              <w:top w:w="45" w:type="dxa"/>
              <w:left w:w="45" w:type="dxa"/>
              <w:bottom w:w="45" w:type="dxa"/>
              <w:right w:w="45" w:type="dxa"/>
            </w:tcMar>
          </w:tcPr>
          <w:p w:rsidR="002D7D5E" w:rsidRDefault="0017029E">
            <w:pPr>
              <w:pStyle w:val="p"/>
            </w:pPr>
            <w:r>
              <w:rPr>
                <w:color w:val="000000"/>
              </w:rPr>
              <w:t xml:space="preserve">Operational range: </w:t>
            </w:r>
          </w:p>
        </w:tc>
        <w:tc>
          <w:tcPr>
            <w:tcW w:w="0" w:type="auto"/>
            <w:shd w:val="clear" w:color="auto" w:fill="FFFFFF"/>
            <w:tcMar>
              <w:top w:w="45" w:type="dxa"/>
              <w:left w:w="45" w:type="dxa"/>
              <w:bottom w:w="45" w:type="dxa"/>
              <w:right w:w="45" w:type="dxa"/>
            </w:tcMar>
          </w:tcPr>
          <w:p w:rsidR="002D7D5E" w:rsidRDefault="0017029E">
            <w:pPr>
              <w:pStyle w:val="p"/>
            </w:pPr>
            <w:r>
              <w:rPr>
                <w:color w:val="000000"/>
              </w:rPr>
              <w:t>0 to 600 N</w:t>
            </w:r>
          </w:p>
        </w:tc>
      </w:tr>
    </w:tbl>
    <w:p w:rsidR="002D7D5E" w:rsidRDefault="0017029E">
      <w:pPr>
        <w:pStyle w:val="h2"/>
      </w:pPr>
      <w:r>
        <w:rPr>
          <w:color w:val="000000"/>
        </w:rPr>
        <w:t>How the Sensor Works</w:t>
      </w:r>
    </w:p>
    <w:p w:rsidR="002D7D5E" w:rsidRDefault="0017029E">
      <w:pPr>
        <w:pStyle w:val="p"/>
      </w:pPr>
      <w:r>
        <w:rPr>
          <w:color w:val="000000"/>
        </w:rPr>
        <w:t>The Hand Dynamometer is a strain-gauge based isometric force sensor. This sensor amplifies the force applied converting it into a voltage that is monitored by the lab interface and read in the desired units of force. The Hand Dynamometer reports values in newtons (N), pounds (lb), or kilograms (kg).</w:t>
      </w:r>
    </w:p>
    <w:p w:rsidR="002D7D5E" w:rsidRDefault="0017029E">
      <w:pPr>
        <w:pStyle w:val="h2"/>
      </w:pPr>
      <w:r>
        <w:rPr>
          <w:color w:val="000000"/>
        </w:rPr>
        <w:t>Troubleshooting</w:t>
      </w:r>
    </w:p>
    <w:p w:rsidR="002D7D5E" w:rsidRDefault="0017029E">
      <w:pPr>
        <w:pStyle w:val="li"/>
        <w:numPr>
          <w:ilvl w:val="0"/>
          <w:numId w:val="7"/>
        </w:numPr>
      </w:pPr>
      <w:r>
        <w:rPr>
          <w:color w:val="000000"/>
        </w:rPr>
        <w:t>If the sensor does not read zero in the orientation in which you are using it, follow the standard zeroing procedure for the data</w:t>
      </w:r>
      <w:r>
        <w:rPr>
          <w:color w:val="000000"/>
        </w:rPr>
        <w:noBreakHyphen/>
        <w:t>collection program you are using.</w:t>
      </w:r>
    </w:p>
    <w:p w:rsidR="002D7D5E" w:rsidRDefault="0017029E">
      <w:pPr>
        <w:pStyle w:val="li"/>
        <w:numPr>
          <w:ilvl w:val="0"/>
          <w:numId w:val="7"/>
        </w:numPr>
        <w:spacing w:after="133"/>
      </w:pPr>
      <w:r>
        <w:rPr>
          <w:color w:val="000000"/>
        </w:rPr>
        <w:t>If the default experiment length is too long for your experiment, set the data</w:t>
      </w:r>
      <w:r>
        <w:rPr>
          <w:color w:val="000000"/>
        </w:rPr>
        <w:noBreakHyphen/>
        <w:t>collection parameters in the program you are using.</w:t>
      </w:r>
    </w:p>
    <w:p w:rsidR="002D7D5E" w:rsidRDefault="0017029E">
      <w:pPr>
        <w:pStyle w:val="p"/>
      </w:pPr>
      <w:r>
        <w:rPr>
          <w:color w:val="000000"/>
        </w:rPr>
        <w:t xml:space="preserve">For additional troubleshooting and FAQs, see </w:t>
      </w:r>
      <w:hyperlink r:id="rId15" w:history="1">
        <w:r>
          <w:rPr>
            <w:rFonts w:ascii="Arial" w:hAnsi="Arial" w:cs="Arial"/>
            <w:b/>
            <w:bCs/>
            <w:color w:val="000000"/>
            <w:sz w:val="16"/>
            <w:szCs w:val="16"/>
          </w:rPr>
          <w:t>www.vernier.com/til/1431</w:t>
        </w:r>
      </w:hyperlink>
    </w:p>
    <w:p w:rsidR="002D7D5E" w:rsidRDefault="0017029E">
      <w:pPr>
        <w:pStyle w:val="h2"/>
      </w:pPr>
      <w:r>
        <w:rPr>
          <w:color w:val="000000"/>
        </w:rPr>
        <w:t>Repair Information</w:t>
      </w:r>
    </w:p>
    <w:p w:rsidR="002D7D5E" w:rsidRDefault="0017029E">
      <w:pPr>
        <w:pStyle w:val="p"/>
      </w:pPr>
      <w:r>
        <w:rPr>
          <w:color w:val="000000"/>
        </w:rPr>
        <w:t>If you have watched the related product video(s), followed the troubleshooting steps, and are still having trouble with your Hand Dynamometer, contact Vernier Technical Support at support@vernier.com or call 888-837-6437. Support specialists will work with you to determine if the unit needs to be sent in for repair. At that time, a Return Merchandise Authorization (RMA) number will be issued and instructions will be communicated on how to return the unit for repair.</w:t>
      </w:r>
    </w:p>
    <w:p w:rsidR="002D7D5E" w:rsidRDefault="0017029E">
      <w:pPr>
        <w:pStyle w:val="h2"/>
      </w:pPr>
      <w:r>
        <w:rPr>
          <w:color w:val="000000"/>
        </w:rPr>
        <w:lastRenderedPageBreak/>
        <w:t>Warranty</w:t>
      </w:r>
    </w:p>
    <w:p w:rsidR="002D7D5E" w:rsidRDefault="0017029E">
      <w:pPr>
        <w:pStyle w:val="p"/>
      </w:pPr>
      <w:r>
        <w:rPr>
          <w:color w:val="000000"/>
        </w:rPr>
        <w:t>Vernier warrants this product to be free from defects in materials and workmanship for a period of five years from the date of shipment to the customer. This warranty does not cover damage to the product caused by abuse or improper use. This warranty covers educational institutions only.</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17029E">
      <w:pPr>
        <w:pStyle w:val="p"/>
      </w:pPr>
      <w:r>
        <w:rPr>
          <w:color w:val="000000"/>
        </w:rPr>
        <w:t> </w:t>
      </w:r>
    </w:p>
    <w:p w:rsidR="002D7D5E" w:rsidRDefault="00E12531">
      <w:pPr>
        <w:pStyle w:val="p"/>
        <w:jc w:val="center"/>
      </w:pPr>
      <w:r>
        <w:rPr>
          <w:noProof/>
        </w:rPr>
        <w:drawing>
          <wp:inline distT="0" distB="0" distL="0" distR="0">
            <wp:extent cx="1456690" cy="725170"/>
            <wp:effectExtent l="1905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6" cstate="print"/>
                    <a:srcRect/>
                    <a:stretch>
                      <a:fillRect/>
                    </a:stretch>
                  </pic:blipFill>
                  <pic:spPr bwMode="auto">
                    <a:xfrm>
                      <a:off x="0" y="0"/>
                      <a:ext cx="1456690" cy="725170"/>
                    </a:xfrm>
                    <a:prstGeom prst="rect">
                      <a:avLst/>
                    </a:prstGeom>
                    <a:solidFill>
                      <a:srgbClr val="FFFFFF"/>
                    </a:solidFill>
                    <a:ln w="9525">
                      <a:noFill/>
                      <a:miter lim="800000"/>
                      <a:headEnd/>
                      <a:tailEnd/>
                    </a:ln>
                  </pic:spPr>
                </pic:pic>
              </a:graphicData>
            </a:graphic>
          </wp:inline>
        </w:drawing>
      </w:r>
    </w:p>
    <w:p w:rsidR="002D7D5E" w:rsidRDefault="0017029E">
      <w:pPr>
        <w:pStyle w:val="pzCompanyTextblockCover"/>
        <w:jc w:val="center"/>
      </w:pPr>
      <w:r>
        <w:rPr>
          <w:color w:val="000000"/>
        </w:rPr>
        <w:t>Vernier Software &amp; Technology</w:t>
      </w:r>
      <w:r>
        <w:br/>
      </w:r>
      <w:r>
        <w:rPr>
          <w:rStyle w:val="variable1"/>
        </w:rPr>
        <w:t>13979 SW Millikan Way • Beaverton, OR 97005-2886</w:t>
      </w:r>
      <w:r>
        <w:br/>
      </w:r>
      <w:r>
        <w:rPr>
          <w:rStyle w:val="variable1"/>
        </w:rPr>
        <w:t>Toll Free (888) 837-6437 • (503) 277-2299 • Fax (503) 277-2440</w:t>
      </w:r>
      <w:r>
        <w:br/>
      </w:r>
      <w:r>
        <w:rPr>
          <w:rStyle w:val="variable1"/>
        </w:rPr>
        <w:t>info@vernier.com • www.vernier.com</w:t>
      </w:r>
    </w:p>
    <w:p w:rsidR="002D7D5E" w:rsidRDefault="0017029E">
      <w:pPr>
        <w:pStyle w:val="p2"/>
      </w:pPr>
      <w:r>
        <w:rPr>
          <w:color w:val="000000"/>
        </w:rPr>
        <w:t>Rev. 3/23/16</w:t>
      </w:r>
    </w:p>
    <w:p w:rsidR="002D7D5E" w:rsidRDefault="0017029E">
      <w:pPr>
        <w:pStyle w:val="p2"/>
      </w:pPr>
      <w:r>
        <w:rPr>
          <w:color w:val="000000"/>
        </w:rPr>
        <w:t xml:space="preserve">Logger </w:t>
      </w:r>
      <w:r>
        <w:rPr>
          <w:rStyle w:val="i1"/>
        </w:rPr>
        <w:t>Pro,</w:t>
      </w:r>
      <w:r>
        <w:rPr>
          <w:color w:val="000000"/>
        </w:rPr>
        <w:t xml:space="preserve"> Logger Lite, Vernier LabQuest 2, LabQuest Mini, and other marks shown are our trademarks or registered trademarks in the United States.</w:t>
      </w:r>
    </w:p>
    <w:p w:rsidR="002D7D5E" w:rsidRDefault="0017029E">
      <w:pPr>
        <w:pStyle w:val="p2"/>
      </w:pPr>
      <w:r>
        <w:rPr>
          <w:color w:val="000000"/>
        </w:rPr>
        <w:t>All other marks not owned by us that appear herein are the property of their respective owners, who may or may not be affiliated with, connected to, or sponsored by us.</w:t>
      </w:r>
    </w:p>
    <w:sectPr w:rsidR="002D7D5E" w:rsidSect="002D7D5E">
      <w:headerReference w:type="even" r:id="rId17"/>
      <w:headerReference w:type="default" r:id="rId18"/>
      <w:footerReference w:type="even" r:id="rId19"/>
      <w:footerReference w:type="default" r:id="rId20"/>
      <w:headerReference w:type="first" r:id="rId21"/>
      <w:footerReference w:type="first" r:id="rId22"/>
      <w:type w:val="continuous"/>
      <w:pgSz w:w="7920" w:h="12240"/>
      <w:pgMar w:top="360" w:right="360" w:bottom="720" w:left="3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0B2" w:rsidRDefault="00D660B2" w:rsidP="002D7D5E">
      <w:r>
        <w:separator/>
      </w:r>
    </w:p>
  </w:endnote>
  <w:endnote w:type="continuationSeparator" w:id="0">
    <w:p w:rsidR="00D660B2" w:rsidRDefault="00D660B2" w:rsidP="002D7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 w:type="dxa"/>
        <w:right w:w="10" w:type="dxa"/>
      </w:tblCellMar>
      <w:tblLook w:val="04A0"/>
    </w:tblPr>
    <w:tblGrid>
      <w:gridCol w:w="7220"/>
    </w:tblGrid>
    <w:tr w:rsidR="002D7D5E">
      <w:tc>
        <w:tcPr>
          <w:tcW w:w="0" w:type="auto"/>
        </w:tcPr>
        <w:p w:rsidR="002D7D5E" w:rsidRDefault="00A72B42">
          <w:pPr>
            <w:pStyle w:val="td"/>
            <w:jc w:val="center"/>
          </w:pPr>
          <w:r>
            <w:rPr>
              <w:rStyle w:val="variable"/>
            </w:rPr>
            <w:fldChar w:fldCharType="begin"/>
          </w:r>
          <w:r w:rsidR="0017029E">
            <w:rPr>
              <w:rStyle w:val="variable"/>
            </w:rPr>
            <w:instrText xml:space="preserve"> PAGE \* Arabic  \* MERGEFORMAT </w:instrText>
          </w:r>
          <w:r>
            <w:rPr>
              <w:rStyle w:val="variable"/>
            </w:rPr>
            <w:fldChar w:fldCharType="separate"/>
          </w:r>
          <w:r w:rsidR="007E06C8">
            <w:rPr>
              <w:rStyle w:val="variable"/>
              <w:noProof/>
            </w:rPr>
            <w:t>4</w:t>
          </w:r>
          <w:r>
            <w:rPr>
              <w:rStyle w:val="variable"/>
            </w:rPr>
            <w:fldChar w:fldCharType="end"/>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 w:type="dxa"/>
        <w:right w:w="10" w:type="dxa"/>
      </w:tblCellMar>
      <w:tblLook w:val="04A0"/>
    </w:tblPr>
    <w:tblGrid>
      <w:gridCol w:w="7220"/>
    </w:tblGrid>
    <w:tr w:rsidR="002D7D5E">
      <w:tc>
        <w:tcPr>
          <w:tcW w:w="0" w:type="auto"/>
        </w:tcPr>
        <w:p w:rsidR="002D7D5E" w:rsidRDefault="00A72B42">
          <w:pPr>
            <w:pStyle w:val="td"/>
            <w:jc w:val="center"/>
          </w:pPr>
          <w:r>
            <w:rPr>
              <w:rStyle w:val="variable"/>
            </w:rPr>
            <w:fldChar w:fldCharType="begin"/>
          </w:r>
          <w:r w:rsidR="0017029E">
            <w:rPr>
              <w:rStyle w:val="variable"/>
            </w:rPr>
            <w:instrText xml:space="preserve"> PAGE \* Arabic  \* MERGEFORMAT </w:instrText>
          </w:r>
          <w:r>
            <w:rPr>
              <w:rStyle w:val="variable"/>
            </w:rPr>
            <w:fldChar w:fldCharType="separate"/>
          </w:r>
          <w:r w:rsidR="007E06C8">
            <w:rPr>
              <w:rStyle w:val="variable"/>
              <w:noProof/>
            </w:rPr>
            <w:t>1</w:t>
          </w:r>
          <w:r>
            <w:rPr>
              <w:rStyle w:val="variable"/>
            </w:rPr>
            <w:fldChar w:fldCharType="end"/>
          </w: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3B" w:rsidRDefault="006B28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0B2" w:rsidRDefault="00D660B2" w:rsidP="002D7D5E">
      <w:r>
        <w:separator/>
      </w:r>
    </w:p>
  </w:footnote>
  <w:footnote w:type="continuationSeparator" w:id="0">
    <w:p w:rsidR="00D660B2" w:rsidRDefault="00D660B2" w:rsidP="002D7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3B" w:rsidRDefault="006B28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3B" w:rsidRDefault="006B2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3B" w:rsidRDefault="006B28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41AE"/>
    <w:multiLevelType w:val="multilevel"/>
    <w:tmpl w:val="FF2E244A"/>
    <w:lvl w:ilvl="0">
      <w:start w:val="1"/>
      <w:numFmt w:val="decimal"/>
      <w:lvlText w:val="%1."/>
      <w:lvlJc w:val="right"/>
      <w:pPr>
        <w:tabs>
          <w:tab w:val="num" w:pos="300"/>
        </w:tabs>
        <w:ind w:left="300" w:hanging="210"/>
      </w:pPr>
      <w:rPr>
        <w:rFonts w:ascii="Times New Roman"/>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E00B73"/>
    <w:multiLevelType w:val="multilevel"/>
    <w:tmpl w:val="EE90BE8E"/>
    <w:lvl w:ilvl="0">
      <w:start w:val="1"/>
      <w:numFmt w:val="decimal"/>
      <w:lvlText w:val="%1."/>
      <w:lvlJc w:val="right"/>
      <w:pPr>
        <w:tabs>
          <w:tab w:val="num" w:pos="0"/>
        </w:tabs>
        <w:spacing w:after="100"/>
        <w:ind w:left="0" w:hanging="210"/>
      </w:pPr>
      <w:rPr>
        <w:rFonts w:ascii="Times New Roman"/>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6D3390"/>
    <w:multiLevelType w:val="multilevel"/>
    <w:tmpl w:val="0B2250D2"/>
    <w:lvl w:ilvl="0">
      <w:numFmt w:val="bullet"/>
      <w:lvlText w:val=""/>
      <w:lvlJc w:val="right"/>
      <w:pPr>
        <w:tabs>
          <w:tab w:val="num" w:pos="300"/>
        </w:tabs>
        <w:ind w:left="300" w:hanging="210"/>
      </w:pPr>
      <w:rPr>
        <w:rFonts w:ascii="Times New Roman"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E4BE0"/>
    <w:multiLevelType w:val="multilevel"/>
    <w:tmpl w:val="4B5A4044"/>
    <w:lvl w:ilvl="0">
      <w:start w:val="1"/>
      <w:numFmt w:val="decimal"/>
      <w:lvlText w:val="%1."/>
      <w:lvlJc w:val="right"/>
      <w:pPr>
        <w:tabs>
          <w:tab w:val="num" w:pos="0"/>
        </w:tabs>
        <w:spacing w:after="100"/>
        <w:ind w:left="0" w:hanging="210"/>
      </w:pPr>
      <w:rPr>
        <w:rFonts w:ascii="Times New Roman"/>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A543CE"/>
    <w:multiLevelType w:val="multilevel"/>
    <w:tmpl w:val="00A064E6"/>
    <w:lvl w:ilvl="0">
      <w:numFmt w:val="bullet"/>
      <w:lvlText w:val=""/>
      <w:lvlJc w:val="right"/>
      <w:pPr>
        <w:tabs>
          <w:tab w:val="num" w:pos="300"/>
        </w:tabs>
        <w:ind w:left="300" w:hanging="210"/>
      </w:pPr>
      <w:rPr>
        <w:rFonts w:ascii="Times New Roman"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1E4F57"/>
    <w:multiLevelType w:val="multilevel"/>
    <w:tmpl w:val="15C81070"/>
    <w:lvl w:ilvl="0">
      <w:start w:val="1"/>
      <w:numFmt w:val="decimal"/>
      <w:lvlText w:val="%1."/>
      <w:lvlJc w:val="right"/>
      <w:pPr>
        <w:tabs>
          <w:tab w:val="num" w:pos="0"/>
        </w:tabs>
        <w:spacing w:after="100"/>
        <w:ind w:left="0" w:hanging="210"/>
      </w:pPr>
      <w:rPr>
        <w:rFonts w:ascii="Times New Roman"/>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7F70ED"/>
    <w:multiLevelType w:val="multilevel"/>
    <w:tmpl w:val="1FF67DD2"/>
    <w:lvl w:ilvl="0">
      <w:numFmt w:val="bullet"/>
      <w:lvlText w:val=""/>
      <w:lvlJc w:val="right"/>
      <w:pPr>
        <w:tabs>
          <w:tab w:val="num" w:pos="300"/>
        </w:tabs>
        <w:ind w:left="300" w:hanging="210"/>
      </w:pPr>
      <w:rPr>
        <w:rFonts w:ascii="Times New Roman"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evenAndOddHeaders/>
  <w:characterSpacingControl w:val="doNotCompress"/>
  <w:footnotePr>
    <w:footnote w:id="-1"/>
    <w:footnote w:id="0"/>
  </w:footnotePr>
  <w:endnotePr>
    <w:endnote w:id="-1"/>
    <w:endnote w:id="0"/>
  </w:endnotePr>
  <w:compat/>
  <w:rsids>
    <w:rsidRoot w:val="002D7D5E"/>
    <w:rsid w:val="000C6A38"/>
    <w:rsid w:val="0017029E"/>
    <w:rsid w:val="00215916"/>
    <w:rsid w:val="002D7D5E"/>
    <w:rsid w:val="003464EC"/>
    <w:rsid w:val="0044740C"/>
    <w:rsid w:val="00635CA5"/>
    <w:rsid w:val="006B283B"/>
    <w:rsid w:val="007E06C8"/>
    <w:rsid w:val="008C1D59"/>
    <w:rsid w:val="00A72B42"/>
    <w:rsid w:val="00D660B2"/>
    <w:rsid w:val="00E12531"/>
    <w:rsid w:val="00E30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5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
    <w:name w:val="td"/>
    <w:rsid w:val="002D7D5E"/>
    <w:rPr>
      <w:rFonts w:ascii="Arial" w:hAnsi="Arial" w:cs="Arial"/>
      <w:sz w:val="24"/>
      <w:szCs w:val="24"/>
    </w:rPr>
  </w:style>
  <w:style w:type="character" w:customStyle="1" w:styleId="variable">
    <w:name w:val="variable"/>
    <w:rsid w:val="002D7D5E"/>
    <w:rPr>
      <w:rFonts w:ascii="Times New Roman" w:hAnsi="Times New Roman" w:cs="Times New Roman"/>
      <w:color w:val="000000"/>
      <w:sz w:val="20"/>
      <w:szCs w:val="20"/>
    </w:rPr>
  </w:style>
  <w:style w:type="paragraph" w:customStyle="1" w:styleId="pimgRightUpper">
    <w:name w:val="p_imgRightUpper"/>
    <w:rsid w:val="002D7D5E"/>
    <w:pPr>
      <w:spacing w:after="100" w:line="15" w:lineRule="atLeast"/>
      <w:ind w:right="-75"/>
    </w:pPr>
    <w:rPr>
      <w:sz w:val="2"/>
      <w:szCs w:val="2"/>
    </w:rPr>
  </w:style>
  <w:style w:type="paragraph" w:customStyle="1" w:styleId="h1Index">
    <w:name w:val="h1_Index"/>
    <w:rsid w:val="002D7D5E"/>
    <w:pPr>
      <w:keepNext/>
    </w:pPr>
    <w:rPr>
      <w:rFonts w:ascii="Arial" w:hAnsi="Arial" w:cs="Arial"/>
      <w:b/>
      <w:bCs/>
      <w:sz w:val="40"/>
      <w:szCs w:val="40"/>
    </w:rPr>
  </w:style>
  <w:style w:type="paragraph" w:customStyle="1" w:styleId="pSensorOrderCode">
    <w:name w:val="p_SensorOrderCode"/>
    <w:rsid w:val="002D7D5E"/>
    <w:pPr>
      <w:spacing w:after="200"/>
    </w:pPr>
    <w:rPr>
      <w:rFonts w:ascii="Arial" w:hAnsi="Arial" w:cs="Arial"/>
      <w:b/>
      <w:bCs/>
      <w:sz w:val="24"/>
      <w:szCs w:val="24"/>
    </w:rPr>
  </w:style>
  <w:style w:type="paragraph" w:customStyle="1" w:styleId="p">
    <w:name w:val="p"/>
    <w:rsid w:val="002D7D5E"/>
    <w:pPr>
      <w:spacing w:after="100"/>
    </w:pPr>
  </w:style>
  <w:style w:type="character" w:customStyle="1" w:styleId="b">
    <w:name w:val="b"/>
    <w:rsid w:val="002D7D5E"/>
    <w:rPr>
      <w:b/>
      <w:bCs/>
      <w:color w:val="000000"/>
      <w:sz w:val="20"/>
      <w:szCs w:val="20"/>
    </w:rPr>
  </w:style>
  <w:style w:type="paragraph" w:customStyle="1" w:styleId="pNote">
    <w:name w:val="p_Note"/>
    <w:rsid w:val="002D7D5E"/>
    <w:pPr>
      <w:pBdr>
        <w:top w:val="single" w:sz="6" w:space="2" w:color="000000"/>
        <w:left w:val="single" w:sz="6" w:space="2" w:color="000000"/>
        <w:bottom w:val="single" w:sz="6" w:space="2" w:color="000000"/>
        <w:right w:val="single" w:sz="6" w:space="2" w:color="000000"/>
      </w:pBdr>
      <w:spacing w:before="90" w:after="120"/>
    </w:pPr>
  </w:style>
  <w:style w:type="paragraph" w:customStyle="1" w:styleId="h2">
    <w:name w:val="h2"/>
    <w:rsid w:val="002D7D5E"/>
    <w:pPr>
      <w:keepNext/>
      <w:spacing w:before="200"/>
    </w:pPr>
    <w:rPr>
      <w:rFonts w:ascii="Arial" w:hAnsi="Arial" w:cs="Arial"/>
      <w:b/>
      <w:bCs/>
      <w:sz w:val="22"/>
      <w:szCs w:val="22"/>
    </w:rPr>
  </w:style>
  <w:style w:type="paragraph" w:customStyle="1" w:styleId="li">
    <w:name w:val="li"/>
    <w:rsid w:val="002D7D5E"/>
    <w:pPr>
      <w:ind w:left="300"/>
    </w:pPr>
  </w:style>
  <w:style w:type="character" w:customStyle="1" w:styleId="i">
    <w:name w:val="i"/>
    <w:rsid w:val="002D7D5E"/>
    <w:rPr>
      <w:i/>
      <w:iCs/>
      <w:color w:val="000000"/>
      <w:sz w:val="20"/>
      <w:szCs w:val="20"/>
    </w:rPr>
  </w:style>
  <w:style w:type="character" w:customStyle="1" w:styleId="sup">
    <w:name w:val="sup"/>
    <w:rsid w:val="002D7D5E"/>
    <w:rPr>
      <w:color w:val="000000"/>
      <w:sz w:val="14"/>
      <w:szCs w:val="14"/>
      <w:vertAlign w:val="superscript"/>
    </w:rPr>
  </w:style>
  <w:style w:type="paragraph" w:customStyle="1" w:styleId="divimage-centered">
    <w:name w:val="div_image-centered"/>
    <w:rsid w:val="002D7D5E"/>
    <w:pPr>
      <w:jc w:val="center"/>
    </w:pPr>
    <w:rPr>
      <w:i/>
      <w:iCs/>
      <w:sz w:val="24"/>
      <w:szCs w:val="24"/>
    </w:rPr>
  </w:style>
  <w:style w:type="paragraph" w:customStyle="1" w:styleId="h3">
    <w:name w:val="h3"/>
    <w:rsid w:val="002D7D5E"/>
    <w:pPr>
      <w:keepNext/>
      <w:spacing w:before="100"/>
    </w:pPr>
    <w:rPr>
      <w:rFonts w:ascii="Arial" w:hAnsi="Arial" w:cs="Arial"/>
      <w:b/>
      <w:bCs/>
      <w:sz w:val="18"/>
      <w:szCs w:val="18"/>
    </w:rPr>
  </w:style>
  <w:style w:type="paragraph" w:customStyle="1" w:styleId="p1">
    <w:name w:val="p_1"/>
    <w:rsid w:val="002D7D5E"/>
    <w:pPr>
      <w:spacing w:after="100"/>
    </w:pPr>
    <w:rPr>
      <w:i/>
      <w:iCs/>
    </w:rPr>
  </w:style>
  <w:style w:type="paragraph" w:customStyle="1" w:styleId="li1">
    <w:name w:val="li_1"/>
    <w:rsid w:val="002D7D5E"/>
    <w:pPr>
      <w:spacing w:after="100"/>
    </w:pPr>
  </w:style>
  <w:style w:type="paragraph" w:customStyle="1" w:styleId="pzCompanyTextblockCover">
    <w:name w:val="p_zCompanyTextblockCover"/>
    <w:rsid w:val="002D7D5E"/>
    <w:pPr>
      <w:spacing w:after="100"/>
    </w:pPr>
    <w:rPr>
      <w:rFonts w:ascii="Arial" w:hAnsi="Arial" w:cs="Arial"/>
      <w:sz w:val="16"/>
      <w:szCs w:val="16"/>
    </w:rPr>
  </w:style>
  <w:style w:type="character" w:customStyle="1" w:styleId="variable1">
    <w:name w:val="variable_1"/>
    <w:rsid w:val="002D7D5E"/>
    <w:rPr>
      <w:color w:val="000000"/>
      <w:sz w:val="16"/>
      <w:szCs w:val="16"/>
    </w:rPr>
  </w:style>
  <w:style w:type="paragraph" w:customStyle="1" w:styleId="p2">
    <w:name w:val="p_2"/>
    <w:rsid w:val="002D7D5E"/>
    <w:pPr>
      <w:spacing w:after="100"/>
    </w:pPr>
    <w:rPr>
      <w:sz w:val="14"/>
      <w:szCs w:val="14"/>
    </w:rPr>
  </w:style>
  <w:style w:type="character" w:customStyle="1" w:styleId="i1">
    <w:name w:val="i_1"/>
    <w:rsid w:val="002D7D5E"/>
    <w:rPr>
      <w:i/>
      <w:iCs/>
      <w:color w:val="000000"/>
      <w:sz w:val="14"/>
      <w:szCs w:val="14"/>
    </w:rPr>
  </w:style>
  <w:style w:type="paragraph" w:styleId="Header">
    <w:name w:val="header"/>
    <w:basedOn w:val="Normal"/>
    <w:link w:val="HeaderChar"/>
    <w:rsid w:val="006B283B"/>
    <w:pPr>
      <w:tabs>
        <w:tab w:val="center" w:pos="4680"/>
        <w:tab w:val="right" w:pos="9360"/>
      </w:tabs>
    </w:pPr>
  </w:style>
  <w:style w:type="character" w:customStyle="1" w:styleId="HeaderChar">
    <w:name w:val="Header Char"/>
    <w:basedOn w:val="DefaultParagraphFont"/>
    <w:link w:val="Header"/>
    <w:rsid w:val="006B283B"/>
  </w:style>
  <w:style w:type="paragraph" w:styleId="Footer">
    <w:name w:val="footer"/>
    <w:basedOn w:val="Normal"/>
    <w:link w:val="FooterChar"/>
    <w:rsid w:val="006B283B"/>
    <w:pPr>
      <w:tabs>
        <w:tab w:val="center" w:pos="4680"/>
        <w:tab w:val="right" w:pos="9360"/>
      </w:tabs>
    </w:pPr>
  </w:style>
  <w:style w:type="character" w:customStyle="1" w:styleId="FooterChar">
    <w:name w:val="Footer Char"/>
    <w:basedOn w:val="DefaultParagraphFont"/>
    <w:link w:val="Footer"/>
    <w:rsid w:val="006B283B"/>
  </w:style>
  <w:style w:type="paragraph" w:styleId="BalloonText">
    <w:name w:val="Balloon Text"/>
    <w:basedOn w:val="Normal"/>
    <w:link w:val="BalloonTextChar"/>
    <w:rsid w:val="00E12531"/>
    <w:rPr>
      <w:rFonts w:ascii="Tahoma" w:hAnsi="Tahoma" w:cs="Tahoma"/>
      <w:sz w:val="16"/>
      <w:szCs w:val="16"/>
    </w:rPr>
  </w:style>
  <w:style w:type="character" w:customStyle="1" w:styleId="BalloonTextChar">
    <w:name w:val="Balloon Text Char"/>
    <w:basedOn w:val="DefaultParagraphFont"/>
    <w:link w:val="BalloonText"/>
    <w:rsid w:val="00E12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nier.com/manuals/hd-bta"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ernier.com/til/1431"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ernier.com/start/hd-bta" TargetMode="External"/><Relationship Id="rId14" Type="http://schemas.openxmlformats.org/officeDocument/2006/relationships/hyperlink" Target="http://www.vernier.com/hd-bt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Hand_Dynamometer</vt:lpstr>
    </vt:vector>
  </TitlesOfParts>
  <Company>MadCap Software</Company>
  <LinksUpToDate>false</LinksUpToDate>
  <CharactersWithSpaces>6648</CharactersWithSpaces>
  <SharedDoc>false</SharedDoc>
  <HLinks>
    <vt:vector size="24" baseType="variant">
      <vt:variant>
        <vt:i4>2097186</vt:i4>
      </vt:variant>
      <vt:variant>
        <vt:i4>9</vt:i4>
      </vt:variant>
      <vt:variant>
        <vt:i4>0</vt:i4>
      </vt:variant>
      <vt:variant>
        <vt:i4>5</vt:i4>
      </vt:variant>
      <vt:variant>
        <vt:lpwstr>http://www.vernier.com/til/1431</vt:lpwstr>
      </vt:variant>
      <vt:variant>
        <vt:lpwstr/>
      </vt:variant>
      <vt:variant>
        <vt:i4>720982</vt:i4>
      </vt:variant>
      <vt:variant>
        <vt:i4>6</vt:i4>
      </vt:variant>
      <vt:variant>
        <vt:i4>0</vt:i4>
      </vt:variant>
      <vt:variant>
        <vt:i4>5</vt:i4>
      </vt:variant>
      <vt:variant>
        <vt:lpwstr>http://www.vernier.com/hd-bta</vt:lpwstr>
      </vt:variant>
      <vt:variant>
        <vt:lpwstr/>
      </vt:variant>
      <vt:variant>
        <vt:i4>7143551</vt:i4>
      </vt:variant>
      <vt:variant>
        <vt:i4>3</vt:i4>
      </vt:variant>
      <vt:variant>
        <vt:i4>0</vt:i4>
      </vt:variant>
      <vt:variant>
        <vt:i4>5</vt:i4>
      </vt:variant>
      <vt:variant>
        <vt:lpwstr>http://www.vernier.com/start/hd-bta</vt:lpwstr>
      </vt:variant>
      <vt:variant>
        <vt:lpwstr/>
      </vt:variant>
      <vt:variant>
        <vt:i4>1703937</vt:i4>
      </vt:variant>
      <vt:variant>
        <vt:i4>0</vt:i4>
      </vt:variant>
      <vt:variant>
        <vt:i4>0</vt:i4>
      </vt:variant>
      <vt:variant>
        <vt:i4>5</vt:i4>
      </vt:variant>
      <vt:variant>
        <vt:lpwstr>http://www.vernier.com/manuals/hd-bta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Hand_Dynamometer</dc:title>
  <dc:creator>MadCap Software</dc:creator>
  <cp:lastModifiedBy>ckreiger</cp:lastModifiedBy>
  <cp:revision>2</cp:revision>
  <dcterms:created xsi:type="dcterms:W3CDTF">2021-01-27T18:33:00Z</dcterms:created>
  <dcterms:modified xsi:type="dcterms:W3CDTF">2021-01-27T18:33:00Z</dcterms:modified>
</cp:coreProperties>
</file>