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F0" w:rsidRDefault="00E001CF">
      <w:pPr>
        <w:pStyle w:val="pimgRightUpper"/>
      </w:pPr>
      <w:r>
        <w:rPr>
          <w:noProof/>
        </w:rPr>
        <w:drawing>
          <wp:inline distT="0" distB="0" distL="0" distR="0">
            <wp:extent cx="1283970" cy="126619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1283970" cy="1266190"/>
                    </a:xfrm>
                    <a:prstGeom prst="rect">
                      <a:avLst/>
                    </a:prstGeom>
                    <a:noFill/>
                    <a:ln w="9525">
                      <a:noFill/>
                      <a:miter lim="800000"/>
                      <a:headEnd/>
                      <a:tailEnd/>
                    </a:ln>
                  </pic:spPr>
                </pic:pic>
              </a:graphicData>
            </a:graphic>
          </wp:inline>
        </w:drawing>
      </w:r>
    </w:p>
    <w:p w:rsidR="00C16FF0" w:rsidRDefault="0031597A">
      <w:pPr>
        <w:pStyle w:val="h1Index"/>
      </w:pPr>
      <w:r>
        <w:rPr>
          <w:color w:val="000000"/>
        </w:rPr>
        <w:t>O</w:t>
      </w:r>
      <w:r>
        <w:rPr>
          <w:rStyle w:val="sub"/>
        </w:rPr>
        <w:t>2</w:t>
      </w:r>
      <w:r>
        <w:rPr>
          <w:color w:val="000000"/>
        </w:rPr>
        <w:t xml:space="preserve"> Gas Sensor </w:t>
      </w:r>
    </w:p>
    <w:p w:rsidR="00C16FF0" w:rsidRDefault="0031597A">
      <w:pPr>
        <w:pStyle w:val="pSensorOrderCode"/>
      </w:pPr>
      <w:r>
        <w:rPr>
          <w:color w:val="000000"/>
        </w:rPr>
        <w:t>(Order Code O2-BTA)</w:t>
      </w:r>
    </w:p>
    <w:p w:rsidR="00C16FF0" w:rsidRDefault="0031597A">
      <w:pPr>
        <w:pStyle w:val="p"/>
      </w:pPr>
      <w:r>
        <w:rPr>
          <w:color w:val="000000"/>
        </w:rPr>
        <w:t>The O</w:t>
      </w:r>
      <w:r>
        <w:rPr>
          <w:rStyle w:val="sub1"/>
        </w:rPr>
        <w:t>2</w:t>
      </w:r>
      <w:r>
        <w:rPr>
          <w:color w:val="000000"/>
        </w:rPr>
        <w:t xml:space="preserve"> Gas Sensor can be used to monitor gaseous oxygen levels in a variety of biology and chemistry experiments. The sensor is intended for measuring gaseous, not aqueous, O</w:t>
      </w:r>
      <w:r>
        <w:rPr>
          <w:rStyle w:val="sub1"/>
        </w:rPr>
        <w:t>2</w:t>
      </w:r>
      <w:r>
        <w:rPr>
          <w:color w:val="000000"/>
        </w:rPr>
        <w:t xml:space="preserve"> concentrations.</w:t>
      </w:r>
    </w:p>
    <w:p w:rsidR="00C16FF0" w:rsidRDefault="0031597A">
      <w:pPr>
        <w:pStyle w:val="pNote"/>
      </w:pPr>
      <w:r>
        <w:rPr>
          <w:rStyle w:val="b"/>
        </w:rPr>
        <w:t>Note:</w:t>
      </w:r>
      <w:r>
        <w:rPr>
          <w:color w:val="000000"/>
        </w:rPr>
        <w:t xml:space="preserve"> </w:t>
      </w:r>
      <w:proofErr w:type="spellStart"/>
      <w:r>
        <w:rPr>
          <w:color w:val="000000"/>
        </w:rPr>
        <w:t>Vernier</w:t>
      </w:r>
      <w:proofErr w:type="spellEnd"/>
      <w:r>
        <w:rPr>
          <w:color w:val="000000"/>
        </w:rPr>
        <w:t xml:space="preserve"> products are designed for educational use. Our products are not designed nor are they recommended for any industrial, medical, or commercial process such as life support, patient diagnosis, control of a manufacturing process, or industrial testing of any kind.</w:t>
      </w:r>
    </w:p>
    <w:p w:rsidR="00C16FF0" w:rsidRDefault="0031597A">
      <w:pPr>
        <w:pStyle w:val="h2"/>
      </w:pPr>
      <w:r>
        <w:rPr>
          <w:color w:val="000000"/>
        </w:rPr>
        <w:t xml:space="preserve">What's </w:t>
      </w:r>
      <w:proofErr w:type="gramStart"/>
      <w:r>
        <w:rPr>
          <w:color w:val="000000"/>
        </w:rPr>
        <w:t>Included</w:t>
      </w:r>
      <w:proofErr w:type="gramEnd"/>
    </w:p>
    <w:tbl>
      <w:tblPr>
        <w:tblW w:w="5000" w:type="pct"/>
        <w:tblCellMar>
          <w:left w:w="10" w:type="dxa"/>
          <w:right w:w="10" w:type="dxa"/>
        </w:tblCellMar>
        <w:tblLook w:val="04A0"/>
      </w:tblPr>
      <w:tblGrid>
        <w:gridCol w:w="7220"/>
      </w:tblGrid>
      <w:tr w:rsidR="00C16FF0">
        <w:tc>
          <w:tcPr>
            <w:tcW w:w="0" w:type="auto"/>
          </w:tcPr>
          <w:p w:rsidR="00C16FF0" w:rsidRDefault="0031597A">
            <w:pPr>
              <w:pStyle w:val="li"/>
              <w:numPr>
                <w:ilvl w:val="0"/>
                <w:numId w:val="1"/>
              </w:numPr>
            </w:pPr>
            <w:r>
              <w:rPr>
                <w:color w:val="000000"/>
              </w:rPr>
              <w:t>O</w:t>
            </w:r>
            <w:r>
              <w:rPr>
                <w:rStyle w:val="sub1"/>
              </w:rPr>
              <w:t>2</w:t>
            </w:r>
            <w:r>
              <w:rPr>
                <w:color w:val="000000"/>
              </w:rPr>
              <w:t xml:space="preserve"> Gas Sensor</w:t>
            </w:r>
          </w:p>
          <w:p w:rsidR="00C16FF0" w:rsidRDefault="0031597A">
            <w:pPr>
              <w:pStyle w:val="li"/>
              <w:numPr>
                <w:ilvl w:val="0"/>
                <w:numId w:val="1"/>
              </w:numPr>
              <w:spacing w:after="133"/>
            </w:pPr>
            <w:r>
              <w:rPr>
                <w:color w:val="000000"/>
              </w:rPr>
              <w:t xml:space="preserve">250 </w:t>
            </w:r>
            <w:proofErr w:type="spellStart"/>
            <w:r>
              <w:rPr>
                <w:color w:val="000000"/>
              </w:rPr>
              <w:t>mL</w:t>
            </w:r>
            <w:proofErr w:type="spellEnd"/>
            <w:r>
              <w:rPr>
                <w:color w:val="000000"/>
              </w:rPr>
              <w:t xml:space="preserve"> gas sampling bottle (</w:t>
            </w:r>
            <w:proofErr w:type="spellStart"/>
            <w:r>
              <w:rPr>
                <w:color w:val="000000"/>
              </w:rPr>
              <w:t>Nalgene</w:t>
            </w:r>
            <w:proofErr w:type="spellEnd"/>
            <w:r>
              <w:rPr>
                <w:color w:val="000000"/>
              </w:rPr>
              <w:t xml:space="preserve"> bottle with lid)</w:t>
            </w:r>
          </w:p>
        </w:tc>
      </w:tr>
    </w:tbl>
    <w:p w:rsidR="00C16FF0" w:rsidRDefault="0031597A">
      <w:pPr>
        <w:pStyle w:val="h2"/>
      </w:pPr>
      <w:r>
        <w:rPr>
          <w:color w:val="000000"/>
        </w:rPr>
        <w:t>Compatible Software and Interfaces</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r>
              <w:rPr>
                <w:color w:val="000000"/>
              </w:rPr>
              <w:t xml:space="preserve">See </w:t>
            </w:r>
            <w:hyperlink r:id="rId8" w:history="1">
              <w:r>
                <w:rPr>
                  <w:rFonts w:ascii="Arial" w:hAnsi="Arial" w:cs="Arial"/>
                  <w:b/>
                  <w:bCs/>
                  <w:color w:val="000000"/>
                  <w:sz w:val="16"/>
                  <w:szCs w:val="16"/>
                </w:rPr>
                <w:t>www.vernier.com/manuals/o2-bta</w:t>
              </w:r>
            </w:hyperlink>
            <w:r>
              <w:rPr>
                <w:color w:val="000000"/>
              </w:rPr>
              <w:t xml:space="preserve"> for a list of interfaces and software compatible with the O</w:t>
            </w:r>
            <w:r>
              <w:rPr>
                <w:rStyle w:val="sub1"/>
              </w:rPr>
              <w:t>2</w:t>
            </w:r>
            <w:r>
              <w:rPr>
                <w:color w:val="000000"/>
              </w:rPr>
              <w:t xml:space="preserve"> Gas Sensor.</w:t>
            </w:r>
          </w:p>
        </w:tc>
      </w:tr>
    </w:tbl>
    <w:p w:rsidR="00C16FF0" w:rsidRDefault="0031597A">
      <w:pPr>
        <w:pStyle w:val="h2"/>
      </w:pPr>
      <w:r>
        <w:rPr>
          <w:color w:val="000000"/>
        </w:rPr>
        <w:t>Getting Started</w:t>
      </w:r>
    </w:p>
    <w:p w:rsidR="00994675" w:rsidRDefault="00994675">
      <w:pPr>
        <w:pStyle w:val="li"/>
        <w:numPr>
          <w:ilvl w:val="0"/>
          <w:numId w:val="2"/>
        </w:numPr>
      </w:pPr>
      <w:r>
        <w:rPr>
          <w:color w:val="000000"/>
        </w:rPr>
        <w:t>Connect the sensor to the interface (</w:t>
      </w:r>
      <w:proofErr w:type="spellStart"/>
      <w:r>
        <w:rPr>
          <w:color w:val="000000"/>
        </w:rPr>
        <w:t>LabQuest</w:t>
      </w:r>
      <w:proofErr w:type="spellEnd"/>
      <w:r>
        <w:rPr>
          <w:color w:val="000000"/>
        </w:rPr>
        <w:t xml:space="preserve"> Mini, </w:t>
      </w:r>
      <w:proofErr w:type="spellStart"/>
      <w:r>
        <w:rPr>
          <w:color w:val="000000"/>
        </w:rPr>
        <w:t>LabQuest</w:t>
      </w:r>
      <w:proofErr w:type="spellEnd"/>
      <w:r>
        <w:rPr>
          <w:color w:val="000000"/>
        </w:rPr>
        <w:t xml:space="preserve"> 2, etc.).</w:t>
      </w:r>
    </w:p>
    <w:p w:rsidR="00994675" w:rsidRDefault="00994675">
      <w:pPr>
        <w:pStyle w:val="li"/>
        <w:numPr>
          <w:ilvl w:val="0"/>
          <w:numId w:val="2"/>
        </w:numPr>
        <w:spacing w:after="133"/>
      </w:pPr>
      <w:r>
        <w:rPr>
          <w:color w:val="000000"/>
        </w:rPr>
        <w:t xml:space="preserve">Start the appropriate data-collection software (Logger </w:t>
      </w:r>
      <w:r>
        <w:rPr>
          <w:rStyle w:val="i"/>
        </w:rPr>
        <w:t>Pro</w:t>
      </w:r>
      <w:r>
        <w:rPr>
          <w:color w:val="000000"/>
        </w:rPr>
        <w:t xml:space="preserve">, Logger </w:t>
      </w:r>
      <w:proofErr w:type="spellStart"/>
      <w:r>
        <w:rPr>
          <w:color w:val="000000"/>
        </w:rPr>
        <w:t>Lite</w:t>
      </w:r>
      <w:proofErr w:type="spellEnd"/>
      <w:r>
        <w:rPr>
          <w:color w:val="000000"/>
        </w:rPr>
        <w:t xml:space="preserve">, </w:t>
      </w:r>
      <w:proofErr w:type="spellStart"/>
      <w:r>
        <w:rPr>
          <w:color w:val="000000"/>
        </w:rPr>
        <w:t>LabQuest</w:t>
      </w:r>
      <w:proofErr w:type="spellEnd"/>
      <w:r>
        <w:rPr>
          <w:color w:val="000000"/>
        </w:rPr>
        <w:t xml:space="preserve"> App) if not already running, and choose New from File menu.</w:t>
      </w:r>
    </w:p>
    <w:p w:rsidR="00994675" w:rsidRDefault="00994675">
      <w:pPr>
        <w:pStyle w:val="p"/>
      </w:pPr>
      <w:r>
        <w:rPr>
          <w:color w:val="000000"/>
        </w:rPr>
        <w:t>The software will identify the sensor and load a default data-collection setup. You are now ready to collect data.</w:t>
      </w:r>
    </w:p>
    <w:p w:rsidR="00994675" w:rsidRDefault="00994675">
      <w:pPr>
        <w:pStyle w:val="p"/>
      </w:pPr>
      <w:r>
        <w:rPr>
          <w:color w:val="000000"/>
        </w:rPr>
        <w:t xml:space="preserve">If you are collecting data using a </w:t>
      </w:r>
      <w:proofErr w:type="spellStart"/>
      <w:r>
        <w:rPr>
          <w:color w:val="000000"/>
        </w:rPr>
        <w:t>Chromebook</w:t>
      </w:r>
      <w:proofErr w:type="spellEnd"/>
      <w:r>
        <w:rPr>
          <w:color w:val="000000"/>
        </w:rPr>
        <w:t xml:space="preserve">™, mobile device such as </w:t>
      </w:r>
      <w:proofErr w:type="spellStart"/>
      <w:r>
        <w:rPr>
          <w:color w:val="000000"/>
        </w:rPr>
        <w:t>iPad</w:t>
      </w:r>
      <w:proofErr w:type="spellEnd"/>
      <w:r>
        <w:rPr>
          <w:rStyle w:val="sup"/>
        </w:rPr>
        <w:t>®</w:t>
      </w:r>
      <w:r>
        <w:rPr>
          <w:color w:val="000000"/>
        </w:rPr>
        <w:t xml:space="preserve"> or Android™ tablet, or a </w:t>
      </w:r>
      <w:proofErr w:type="spellStart"/>
      <w:r>
        <w:rPr>
          <w:color w:val="000000"/>
        </w:rPr>
        <w:t>Vernier</w:t>
      </w:r>
      <w:proofErr w:type="spellEnd"/>
      <w:r>
        <w:rPr>
          <w:color w:val="000000"/>
        </w:rPr>
        <w:t xml:space="preserve"> wireless sensor or interface, please see the following link for up-to-date connection information:</w:t>
      </w:r>
    </w:p>
    <w:p w:rsidR="00994675" w:rsidRDefault="004B174B">
      <w:pPr>
        <w:pStyle w:val="p"/>
        <w:jc w:val="center"/>
      </w:pPr>
      <w:hyperlink r:id="rId9" w:history="1">
        <w:r w:rsidR="00994675">
          <w:rPr>
            <w:rFonts w:ascii="Arial" w:hAnsi="Arial" w:cs="Arial"/>
            <w:b/>
            <w:bCs/>
            <w:color w:val="000000"/>
            <w:sz w:val="16"/>
            <w:szCs w:val="16"/>
          </w:rPr>
          <w:t>www.vernier.com/start/o2-bta</w:t>
        </w:r>
      </w:hyperlink>
    </w:p>
    <w:p w:rsidR="00C16FF0" w:rsidRDefault="0031597A">
      <w:pPr>
        <w:pStyle w:val="h2"/>
      </w:pPr>
      <w:r>
        <w:rPr>
          <w:color w:val="000000"/>
        </w:rPr>
        <w:t>Using the Product</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r>
              <w:rPr>
                <w:color w:val="000000"/>
              </w:rPr>
              <w:t xml:space="preserve">Connect the sensor following the steps in the Getting Started section of this user manual. </w:t>
            </w:r>
            <w:r>
              <w:rPr>
                <w:rStyle w:val="b"/>
              </w:rPr>
              <w:lastRenderedPageBreak/>
              <w:t>Note:</w:t>
            </w:r>
            <w:r>
              <w:rPr>
                <w:color w:val="000000"/>
              </w:rPr>
              <w:t xml:space="preserve"> For best results, keep the sensor upright as much as possible during use. Reading may drift if used in a horizontal position.</w:t>
            </w:r>
          </w:p>
        </w:tc>
      </w:tr>
    </w:tbl>
    <w:p w:rsidR="00C16FF0" w:rsidRDefault="0031597A">
      <w:pPr>
        <w:pStyle w:val="h2"/>
      </w:pPr>
      <w:r>
        <w:rPr>
          <w:color w:val="000000"/>
        </w:rPr>
        <w:lastRenderedPageBreak/>
        <w:t>Videos</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r>
              <w:rPr>
                <w:color w:val="000000"/>
              </w:rPr>
              <w:t xml:space="preserve">View videos related to this product at </w:t>
            </w:r>
            <w:hyperlink r:id="rId10" w:history="1">
              <w:r>
                <w:rPr>
                  <w:rFonts w:ascii="Arial" w:hAnsi="Arial" w:cs="Arial"/>
                  <w:b/>
                  <w:bCs/>
                  <w:color w:val="000000"/>
                  <w:sz w:val="16"/>
                  <w:szCs w:val="16"/>
                </w:rPr>
                <w:t>www.vernier.com/o2-bta</w:t>
              </w:r>
            </w:hyperlink>
          </w:p>
        </w:tc>
      </w:tr>
    </w:tbl>
    <w:p w:rsidR="00C16FF0" w:rsidRDefault="0031597A">
      <w:pPr>
        <w:pStyle w:val="h2"/>
      </w:pPr>
      <w:r>
        <w:rPr>
          <w:color w:val="000000"/>
        </w:rPr>
        <w:t>Calibration</w:t>
      </w:r>
    </w:p>
    <w:p w:rsidR="00994675" w:rsidRDefault="00994675">
      <w:pPr>
        <w:pStyle w:val="p"/>
      </w:pPr>
      <w:r>
        <w:rPr>
          <w:color w:val="000000"/>
        </w:rPr>
        <w:t>For many measurements, it will not be necessary to calibrate the O</w:t>
      </w:r>
      <w:r>
        <w:rPr>
          <w:rStyle w:val="sub1"/>
        </w:rPr>
        <w:t>2</w:t>
      </w:r>
      <w:r>
        <w:rPr>
          <w:color w:val="000000"/>
        </w:rPr>
        <w:t xml:space="preserve"> Gas Sensor. The sensor is shipped with a stored calibration.</w:t>
      </w:r>
    </w:p>
    <w:p w:rsidR="00994675" w:rsidRDefault="00994675">
      <w:pPr>
        <w:pStyle w:val="p"/>
      </w:pPr>
      <w:r>
        <w:rPr>
          <w:color w:val="000000"/>
        </w:rPr>
        <w:t xml:space="preserve">For more accurate measurements, the sensor can be calibrated at 0 and 20.9% oxygen. Follow the 2-point calibration procedure. For the first point, push and hold the zero </w:t>
      </w:r>
      <w:proofErr w:type="gramStart"/>
      <w:r>
        <w:rPr>
          <w:color w:val="000000"/>
        </w:rPr>
        <w:t>button</w:t>
      </w:r>
      <w:proofErr w:type="gramEnd"/>
      <w:r>
        <w:rPr>
          <w:color w:val="000000"/>
        </w:rPr>
        <w:t xml:space="preserve"> with a pointed object such as a straightened paper clip. The button is located on the side of the sensor next to CAL. Enter a value of 0 for this reading. Release the button and take a second reading. Enter a value of 20.9% oxygen or a corrected value from the table in the Effect of Humidity section of this user manual. Once finished, the sensor should now read 20.9% (or the value entered from the table). For detailed instructions on calibration see the related links below.</w:t>
      </w:r>
    </w:p>
    <w:p w:rsidR="00994675" w:rsidRDefault="00994675">
      <w:pPr>
        <w:pStyle w:val="p"/>
      </w:pPr>
      <w:r>
        <w:rPr>
          <w:color w:val="000000"/>
        </w:rPr>
        <w:t>You can also store your custom calibration on the sensor using the following steps:</w:t>
      </w:r>
    </w:p>
    <w:p w:rsidR="00994675" w:rsidRDefault="00994675">
      <w:pPr>
        <w:pStyle w:val="li"/>
        <w:numPr>
          <w:ilvl w:val="0"/>
          <w:numId w:val="3"/>
        </w:numPr>
      </w:pPr>
      <w:r>
        <w:rPr>
          <w:color w:val="000000"/>
        </w:rPr>
        <w:t xml:space="preserve">Go to the Storage tab and click the Set Sensor Calibration button (Logger </w:t>
      </w:r>
      <w:r>
        <w:rPr>
          <w:rStyle w:val="i"/>
        </w:rPr>
        <w:t>Pro</w:t>
      </w:r>
      <w:r>
        <w:rPr>
          <w:color w:val="000000"/>
        </w:rPr>
        <w:t>) or Save Calibration to Sensor (</w:t>
      </w:r>
      <w:proofErr w:type="spellStart"/>
      <w:r>
        <w:rPr>
          <w:color w:val="000000"/>
        </w:rPr>
        <w:t>LabQuest</w:t>
      </w:r>
      <w:proofErr w:type="spellEnd"/>
      <w:r>
        <w:rPr>
          <w:color w:val="000000"/>
        </w:rPr>
        <w:t>). Once saved, this new calibration will be used automatically, regardless of the interface to which the sensor is connected.</w:t>
      </w:r>
    </w:p>
    <w:p w:rsidR="00994675" w:rsidRDefault="00994675">
      <w:pPr>
        <w:pStyle w:val="li"/>
        <w:numPr>
          <w:ilvl w:val="0"/>
          <w:numId w:val="3"/>
        </w:numPr>
        <w:spacing w:after="133"/>
      </w:pPr>
      <w:r>
        <w:rPr>
          <w:color w:val="000000"/>
        </w:rPr>
        <w:t xml:space="preserve">Click </w:t>
      </w:r>
      <w:proofErr w:type="gramStart"/>
      <w:r>
        <w:rPr>
          <w:color w:val="000000"/>
        </w:rPr>
        <w:t>Done</w:t>
      </w:r>
      <w:proofErr w:type="gramEnd"/>
      <w:r>
        <w:rPr>
          <w:color w:val="000000"/>
        </w:rPr>
        <w:t xml:space="preserve"> to complete the calibration process.</w:t>
      </w:r>
    </w:p>
    <w:p w:rsidR="00994675" w:rsidRDefault="00994675">
      <w:pPr>
        <w:pStyle w:val="p"/>
      </w:pPr>
      <w:r>
        <w:rPr>
          <w:color w:val="000000"/>
        </w:rPr>
        <w:t xml:space="preserve">• For instructions on calibration using Logger </w:t>
      </w:r>
      <w:r>
        <w:rPr>
          <w:rStyle w:val="i"/>
        </w:rPr>
        <w:t>Pro</w:t>
      </w:r>
      <w:r>
        <w:rPr>
          <w:color w:val="000000"/>
        </w:rPr>
        <w:t xml:space="preserve"> computer software, see </w:t>
      </w:r>
      <w:hyperlink r:id="rId11" w:history="1">
        <w:r>
          <w:rPr>
            <w:rFonts w:ascii="Arial" w:hAnsi="Arial" w:cs="Arial"/>
            <w:b/>
            <w:bCs/>
            <w:color w:val="000000"/>
            <w:sz w:val="16"/>
            <w:szCs w:val="16"/>
          </w:rPr>
          <w:t>www.vernier.com/til/2341</w:t>
        </w:r>
      </w:hyperlink>
    </w:p>
    <w:p w:rsidR="00994675" w:rsidRDefault="00994675">
      <w:pPr>
        <w:pStyle w:val="p"/>
      </w:pPr>
      <w:r>
        <w:rPr>
          <w:color w:val="000000"/>
        </w:rPr>
        <w:t xml:space="preserve">• For instructions on calibration using </w:t>
      </w:r>
      <w:proofErr w:type="spellStart"/>
      <w:r>
        <w:rPr>
          <w:color w:val="000000"/>
        </w:rPr>
        <w:t>LabQuest</w:t>
      </w:r>
      <w:proofErr w:type="spellEnd"/>
      <w:r>
        <w:rPr>
          <w:color w:val="000000"/>
        </w:rPr>
        <w:t xml:space="preserve"> App, see </w:t>
      </w:r>
      <w:hyperlink r:id="rId12" w:history="1">
        <w:r>
          <w:rPr>
            <w:rFonts w:ascii="Arial" w:hAnsi="Arial" w:cs="Arial"/>
            <w:b/>
            <w:bCs/>
            <w:color w:val="000000"/>
            <w:sz w:val="16"/>
            <w:szCs w:val="16"/>
          </w:rPr>
          <w:t>www.vernier.com/til/3394</w:t>
        </w:r>
      </w:hyperlink>
    </w:p>
    <w:p w:rsidR="00994675" w:rsidRDefault="00994675">
      <w:pPr>
        <w:pStyle w:val="p"/>
      </w:pPr>
      <w:r>
        <w:rPr>
          <w:color w:val="000000"/>
        </w:rPr>
        <w:t xml:space="preserve">• For instructions on calibration using Graphical Analysis with a </w:t>
      </w:r>
      <w:proofErr w:type="spellStart"/>
      <w:r>
        <w:rPr>
          <w:color w:val="000000"/>
        </w:rPr>
        <w:t>Chromebook</w:t>
      </w:r>
      <w:proofErr w:type="spellEnd"/>
      <w:r>
        <w:rPr>
          <w:color w:val="000000"/>
        </w:rPr>
        <w:t xml:space="preserve">, see </w:t>
      </w:r>
      <w:hyperlink r:id="rId13" w:history="1">
        <w:r>
          <w:rPr>
            <w:rFonts w:ascii="Arial" w:hAnsi="Arial" w:cs="Arial"/>
            <w:b/>
            <w:bCs/>
            <w:color w:val="000000"/>
            <w:sz w:val="16"/>
            <w:szCs w:val="16"/>
          </w:rPr>
          <w:t>www.vernier.com/til/3631</w:t>
        </w:r>
      </w:hyperlink>
    </w:p>
    <w:p w:rsidR="00994675" w:rsidRDefault="00994675">
      <w:pPr>
        <w:pStyle w:val="p"/>
      </w:pPr>
      <w:r>
        <w:rPr>
          <w:color w:val="000000"/>
        </w:rPr>
        <w:t xml:space="preserve">• For instructions on calibration using Graphical Analysis with an </w:t>
      </w:r>
      <w:proofErr w:type="spellStart"/>
      <w:r>
        <w:rPr>
          <w:color w:val="000000"/>
        </w:rPr>
        <w:t>iOS</w:t>
      </w:r>
      <w:proofErr w:type="spellEnd"/>
      <w:r>
        <w:rPr>
          <w:color w:val="000000"/>
        </w:rPr>
        <w:t xml:space="preserve"> or Android device, see </w:t>
      </w:r>
      <w:hyperlink r:id="rId14" w:history="1">
        <w:r>
          <w:rPr>
            <w:rFonts w:ascii="Arial" w:hAnsi="Arial" w:cs="Arial"/>
            <w:b/>
            <w:bCs/>
            <w:color w:val="000000"/>
            <w:sz w:val="16"/>
            <w:szCs w:val="16"/>
          </w:rPr>
          <w:t>www.vernier.com/til/3630</w:t>
        </w:r>
      </w:hyperlink>
    </w:p>
    <w:p w:rsidR="00994675" w:rsidRDefault="00994675">
      <w:pPr>
        <w:pStyle w:val="h3"/>
      </w:pPr>
      <w:r>
        <w:rPr>
          <w:color w:val="000000"/>
        </w:rPr>
        <w:t>Effect of Humidity</w:t>
      </w:r>
    </w:p>
    <w:p w:rsidR="00994675" w:rsidRDefault="00994675">
      <w:pPr>
        <w:pStyle w:val="p"/>
      </w:pPr>
      <w:r>
        <w:rPr>
          <w:color w:val="000000"/>
        </w:rPr>
        <w:t>Because the oxygen concentration varies with the amount of water vapor in the atmosphere, you may want to adjust your atmospheric oxygen calibration value to improve accuracy when using the O</w:t>
      </w:r>
      <w:r>
        <w:rPr>
          <w:rStyle w:val="sub1"/>
        </w:rPr>
        <w:t>2</w:t>
      </w:r>
      <w:r>
        <w:rPr>
          <w:color w:val="000000"/>
        </w:rPr>
        <w:t xml:space="preserve"> Gas Sensor. The accepted value of 20.9% for atmospheric oxygen levels is calculated in dry air (0% humidity). If you know the relative humidity of the location at which you are calibrating, you can substitute one of the values below in place of 20.9%.</w:t>
      </w:r>
    </w:p>
    <w:tbl>
      <w:tblPr>
        <w:tblW w:w="5000" w:type="pct"/>
        <w:jc w:val="center"/>
        <w:tblBorders>
          <w:top w:val="single" w:sz="6" w:space="0" w:color="000000"/>
          <w:left w:val="single" w:sz="6" w:space="0" w:color="000000"/>
          <w:bottom w:val="single" w:sz="6" w:space="0" w:color="000000"/>
          <w:right w:val="single" w:sz="6" w:space="0" w:color="000000"/>
        </w:tblBorders>
        <w:tblCellMar>
          <w:left w:w="10" w:type="dxa"/>
          <w:right w:w="10" w:type="dxa"/>
        </w:tblCellMar>
        <w:tblLook w:val="04A0"/>
      </w:tblPr>
      <w:tblGrid>
        <w:gridCol w:w="2547"/>
        <w:gridCol w:w="910"/>
        <w:gridCol w:w="936"/>
        <w:gridCol w:w="936"/>
        <w:gridCol w:w="936"/>
        <w:gridCol w:w="1085"/>
      </w:tblGrid>
      <w:tr w:rsidR="00994675">
        <w:trPr>
          <w:jc w:val="center"/>
        </w:trPr>
        <w:tc>
          <w:tcPr>
            <w:tcW w:w="3120" w:type="dxa"/>
            <w:tcBorders>
              <w:bottom w:val="single" w:sz="6" w:space="0" w:color="000000"/>
              <w:right w:val="single" w:sz="6" w:space="0" w:color="000000"/>
            </w:tcBorders>
            <w:tcMar>
              <w:top w:w="75" w:type="dxa"/>
              <w:left w:w="75" w:type="dxa"/>
              <w:bottom w:w="75" w:type="dxa"/>
              <w:right w:w="75" w:type="dxa"/>
            </w:tcMar>
          </w:tcPr>
          <w:p w:rsidR="00994675" w:rsidRDefault="00994675">
            <w:pPr>
              <w:pStyle w:val="p"/>
            </w:pPr>
            <w:r>
              <w:rPr>
                <w:color w:val="000000"/>
              </w:rPr>
              <w:t>Relative humidity</w:t>
            </w:r>
          </w:p>
        </w:tc>
        <w:tc>
          <w:tcPr>
            <w:tcW w:w="1050" w:type="dxa"/>
            <w:tcBorders>
              <w:bottom w:val="single" w:sz="6" w:space="0" w:color="000000"/>
              <w:right w:val="single" w:sz="6" w:space="0" w:color="000000"/>
            </w:tcBorders>
            <w:tcMar>
              <w:top w:w="75" w:type="dxa"/>
              <w:left w:w="75" w:type="dxa"/>
              <w:bottom w:w="75" w:type="dxa"/>
              <w:right w:w="75" w:type="dxa"/>
            </w:tcMar>
          </w:tcPr>
          <w:p w:rsidR="00994675" w:rsidRDefault="00994675">
            <w:pPr>
              <w:pStyle w:val="p"/>
            </w:pPr>
            <w:r>
              <w:rPr>
                <w:color w:val="000000"/>
              </w:rPr>
              <w:t>0%</w:t>
            </w:r>
          </w:p>
        </w:tc>
        <w:tc>
          <w:tcPr>
            <w:tcW w:w="1080" w:type="dxa"/>
            <w:tcBorders>
              <w:bottom w:val="single" w:sz="6" w:space="0" w:color="000000"/>
              <w:right w:val="single" w:sz="6" w:space="0" w:color="000000"/>
            </w:tcBorders>
            <w:tcMar>
              <w:top w:w="75" w:type="dxa"/>
              <w:left w:w="75" w:type="dxa"/>
              <w:bottom w:w="75" w:type="dxa"/>
              <w:right w:w="75" w:type="dxa"/>
            </w:tcMar>
          </w:tcPr>
          <w:p w:rsidR="00994675" w:rsidRDefault="00994675">
            <w:pPr>
              <w:pStyle w:val="p"/>
            </w:pPr>
            <w:r>
              <w:rPr>
                <w:color w:val="000000"/>
              </w:rPr>
              <w:t>25%</w:t>
            </w:r>
          </w:p>
        </w:tc>
        <w:tc>
          <w:tcPr>
            <w:tcW w:w="1080" w:type="dxa"/>
            <w:tcBorders>
              <w:bottom w:val="single" w:sz="6" w:space="0" w:color="000000"/>
              <w:right w:val="single" w:sz="6" w:space="0" w:color="000000"/>
            </w:tcBorders>
            <w:tcMar>
              <w:top w:w="75" w:type="dxa"/>
              <w:left w:w="75" w:type="dxa"/>
              <w:bottom w:w="75" w:type="dxa"/>
              <w:right w:w="75" w:type="dxa"/>
            </w:tcMar>
          </w:tcPr>
          <w:p w:rsidR="00994675" w:rsidRDefault="00994675">
            <w:pPr>
              <w:pStyle w:val="p"/>
            </w:pPr>
            <w:r>
              <w:rPr>
                <w:color w:val="000000"/>
              </w:rPr>
              <w:t>50%</w:t>
            </w:r>
          </w:p>
        </w:tc>
        <w:tc>
          <w:tcPr>
            <w:tcW w:w="1080" w:type="dxa"/>
            <w:tcBorders>
              <w:bottom w:val="single" w:sz="6" w:space="0" w:color="000000"/>
              <w:right w:val="single" w:sz="6" w:space="0" w:color="000000"/>
            </w:tcBorders>
            <w:tcMar>
              <w:top w:w="75" w:type="dxa"/>
              <w:left w:w="75" w:type="dxa"/>
              <w:bottom w:w="75" w:type="dxa"/>
              <w:right w:w="75" w:type="dxa"/>
            </w:tcMar>
          </w:tcPr>
          <w:p w:rsidR="00994675" w:rsidRDefault="00994675">
            <w:pPr>
              <w:pStyle w:val="p"/>
            </w:pPr>
            <w:r>
              <w:rPr>
                <w:color w:val="000000"/>
              </w:rPr>
              <w:t>75%</w:t>
            </w:r>
          </w:p>
        </w:tc>
        <w:tc>
          <w:tcPr>
            <w:tcW w:w="1245" w:type="dxa"/>
            <w:tcBorders>
              <w:bottom w:val="single" w:sz="6" w:space="0" w:color="000000"/>
            </w:tcBorders>
            <w:tcMar>
              <w:top w:w="75" w:type="dxa"/>
              <w:left w:w="75" w:type="dxa"/>
              <w:bottom w:w="75" w:type="dxa"/>
              <w:right w:w="75" w:type="dxa"/>
            </w:tcMar>
          </w:tcPr>
          <w:p w:rsidR="00994675" w:rsidRDefault="00994675">
            <w:pPr>
              <w:pStyle w:val="p"/>
            </w:pPr>
            <w:r>
              <w:rPr>
                <w:color w:val="000000"/>
              </w:rPr>
              <w:t>100%</w:t>
            </w:r>
          </w:p>
        </w:tc>
      </w:tr>
      <w:tr w:rsidR="00994675">
        <w:trPr>
          <w:jc w:val="center"/>
        </w:trPr>
        <w:tc>
          <w:tcPr>
            <w:tcW w:w="3120" w:type="dxa"/>
            <w:tcBorders>
              <w:right w:val="single" w:sz="6" w:space="0" w:color="000000"/>
            </w:tcBorders>
            <w:tcMar>
              <w:top w:w="75" w:type="dxa"/>
              <w:left w:w="75" w:type="dxa"/>
              <w:bottom w:w="75" w:type="dxa"/>
              <w:right w:w="75" w:type="dxa"/>
            </w:tcMar>
          </w:tcPr>
          <w:p w:rsidR="00994675" w:rsidRDefault="00994675">
            <w:pPr>
              <w:pStyle w:val="p"/>
            </w:pPr>
            <w:r>
              <w:rPr>
                <w:color w:val="000000"/>
              </w:rPr>
              <w:t>Oxygen in % by volume</w:t>
            </w:r>
          </w:p>
        </w:tc>
        <w:tc>
          <w:tcPr>
            <w:tcW w:w="1050" w:type="dxa"/>
            <w:tcBorders>
              <w:right w:val="single" w:sz="6" w:space="0" w:color="000000"/>
            </w:tcBorders>
            <w:tcMar>
              <w:top w:w="75" w:type="dxa"/>
              <w:left w:w="75" w:type="dxa"/>
              <w:bottom w:w="75" w:type="dxa"/>
              <w:right w:w="75" w:type="dxa"/>
            </w:tcMar>
          </w:tcPr>
          <w:p w:rsidR="00994675" w:rsidRDefault="00994675">
            <w:pPr>
              <w:pStyle w:val="p"/>
            </w:pPr>
            <w:r>
              <w:rPr>
                <w:color w:val="000000"/>
              </w:rPr>
              <w:t>20.9</w:t>
            </w:r>
          </w:p>
        </w:tc>
        <w:tc>
          <w:tcPr>
            <w:tcW w:w="1080" w:type="dxa"/>
            <w:tcBorders>
              <w:right w:val="single" w:sz="6" w:space="0" w:color="000000"/>
            </w:tcBorders>
            <w:tcMar>
              <w:top w:w="75" w:type="dxa"/>
              <w:left w:w="75" w:type="dxa"/>
              <w:bottom w:w="75" w:type="dxa"/>
              <w:right w:w="75" w:type="dxa"/>
            </w:tcMar>
          </w:tcPr>
          <w:p w:rsidR="00994675" w:rsidRDefault="00994675">
            <w:pPr>
              <w:pStyle w:val="p"/>
            </w:pPr>
            <w:r>
              <w:rPr>
                <w:color w:val="000000"/>
              </w:rPr>
              <w:t>20.7</w:t>
            </w:r>
          </w:p>
        </w:tc>
        <w:tc>
          <w:tcPr>
            <w:tcW w:w="1080" w:type="dxa"/>
            <w:tcBorders>
              <w:right w:val="single" w:sz="6" w:space="0" w:color="000000"/>
            </w:tcBorders>
            <w:tcMar>
              <w:top w:w="75" w:type="dxa"/>
              <w:left w:w="75" w:type="dxa"/>
              <w:bottom w:w="75" w:type="dxa"/>
              <w:right w:w="75" w:type="dxa"/>
            </w:tcMar>
          </w:tcPr>
          <w:p w:rsidR="00994675" w:rsidRDefault="00994675">
            <w:pPr>
              <w:pStyle w:val="p"/>
            </w:pPr>
            <w:r>
              <w:rPr>
                <w:color w:val="000000"/>
              </w:rPr>
              <w:t>20.5</w:t>
            </w:r>
          </w:p>
        </w:tc>
        <w:tc>
          <w:tcPr>
            <w:tcW w:w="1080" w:type="dxa"/>
            <w:tcBorders>
              <w:right w:val="single" w:sz="6" w:space="0" w:color="000000"/>
            </w:tcBorders>
            <w:tcMar>
              <w:top w:w="75" w:type="dxa"/>
              <w:left w:w="75" w:type="dxa"/>
              <w:bottom w:w="75" w:type="dxa"/>
              <w:right w:w="75" w:type="dxa"/>
            </w:tcMar>
          </w:tcPr>
          <w:p w:rsidR="00994675" w:rsidRDefault="00994675">
            <w:pPr>
              <w:pStyle w:val="p"/>
            </w:pPr>
            <w:r>
              <w:rPr>
                <w:color w:val="000000"/>
              </w:rPr>
              <w:t>20.3</w:t>
            </w:r>
          </w:p>
        </w:tc>
        <w:tc>
          <w:tcPr>
            <w:tcW w:w="1245" w:type="dxa"/>
            <w:tcMar>
              <w:top w:w="75" w:type="dxa"/>
              <w:left w:w="75" w:type="dxa"/>
              <w:bottom w:w="75" w:type="dxa"/>
              <w:right w:w="75" w:type="dxa"/>
            </w:tcMar>
          </w:tcPr>
          <w:p w:rsidR="00994675" w:rsidRDefault="00994675">
            <w:pPr>
              <w:pStyle w:val="p"/>
            </w:pPr>
            <w:r>
              <w:rPr>
                <w:color w:val="000000"/>
              </w:rPr>
              <w:t>20.1</w:t>
            </w:r>
          </w:p>
        </w:tc>
      </w:tr>
    </w:tbl>
    <w:p w:rsidR="00994675" w:rsidRDefault="00994675"/>
    <w:p w:rsidR="00994675" w:rsidRDefault="00994675"/>
    <w:p w:rsidR="00C16FF0" w:rsidRDefault="0031597A">
      <w:pPr>
        <w:pStyle w:val="h2"/>
        <w:pageBreakBefore/>
      </w:pPr>
      <w:r>
        <w:rPr>
          <w:color w:val="000000"/>
        </w:rPr>
        <w:lastRenderedPageBreak/>
        <w:t>Specifications</w:t>
      </w:r>
    </w:p>
    <w:tbl>
      <w:tblPr>
        <w:tblW w:w="5000" w:type="pct"/>
        <w:tblCellMar>
          <w:left w:w="10" w:type="dxa"/>
          <w:right w:w="10" w:type="dxa"/>
        </w:tblCellMar>
        <w:tblLook w:val="04A0"/>
      </w:tblPr>
      <w:tblGrid>
        <w:gridCol w:w="7220"/>
      </w:tblGrid>
      <w:tr w:rsidR="00C16FF0">
        <w:tc>
          <w:tcPr>
            <w:tcW w:w="0" w:type="auto"/>
          </w:tcPr>
          <w:tbl>
            <w:tblPr>
              <w:tblW w:w="5000" w:type="pct"/>
              <w:tblBorders>
                <w:top w:val="single" w:sz="6" w:space="0" w:color="696969"/>
                <w:left w:val="single" w:sz="6" w:space="0" w:color="696969"/>
                <w:bottom w:val="single" w:sz="6" w:space="0" w:color="696969"/>
                <w:right w:val="single" w:sz="6" w:space="0" w:color="696969"/>
              </w:tblBorders>
              <w:shd w:val="clear" w:color="auto" w:fill="FFFFFF"/>
              <w:tblCellMar>
                <w:left w:w="10" w:type="dxa"/>
                <w:right w:w="10" w:type="dxa"/>
              </w:tblCellMar>
              <w:tblLook w:val="04A0"/>
            </w:tblPr>
            <w:tblGrid>
              <w:gridCol w:w="2730"/>
              <w:gridCol w:w="4454"/>
            </w:tblGrid>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Range</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 xml:space="preserve">0–27% (0–270 </w:t>
                  </w:r>
                  <w:proofErr w:type="spellStart"/>
                  <w:r>
                    <w:rPr>
                      <w:color w:val="000000"/>
                    </w:rPr>
                    <w:t>ppt</w:t>
                  </w:r>
                  <w:proofErr w:type="spellEnd"/>
                  <w:r>
                    <w:rPr>
                      <w:color w:val="000000"/>
                    </w:rPr>
                    <w:t>)</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Accuracy</w:t>
                  </w:r>
                </w:p>
              </w:tc>
              <w:tc>
                <w:tcPr>
                  <w:tcW w:w="5445" w:type="dxa"/>
                  <w:shd w:val="clear" w:color="auto" w:fill="FFFFFF"/>
                  <w:tcMar>
                    <w:top w:w="45" w:type="dxa"/>
                    <w:left w:w="45" w:type="dxa"/>
                    <w:bottom w:w="45" w:type="dxa"/>
                    <w:right w:w="45" w:type="dxa"/>
                  </w:tcMar>
                </w:tcPr>
                <w:p w:rsidR="00C16FF0" w:rsidRDefault="0031597A">
                  <w:pPr>
                    <w:pStyle w:val="p"/>
                  </w:pPr>
                  <w:r>
                    <w:rPr>
                      <w:color w:val="000000"/>
                    </w:rPr>
                    <w:t>± 1% volume O</w:t>
                  </w:r>
                  <w:r>
                    <w:rPr>
                      <w:rStyle w:val="sub1"/>
                    </w:rPr>
                    <w:t>2</w:t>
                  </w:r>
                  <w:r>
                    <w:rPr>
                      <w:color w:val="000000"/>
                    </w:rPr>
                    <w:t xml:space="preserve"> (at 760 mmHg)</w:t>
                  </w:r>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Resolution</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0.01%</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Warm up time</w:t>
                  </w:r>
                </w:p>
              </w:tc>
              <w:tc>
                <w:tcPr>
                  <w:tcW w:w="5445" w:type="dxa"/>
                  <w:shd w:val="clear" w:color="auto" w:fill="FFFFFF"/>
                  <w:tcMar>
                    <w:top w:w="45" w:type="dxa"/>
                    <w:left w:w="45" w:type="dxa"/>
                    <w:bottom w:w="45" w:type="dxa"/>
                    <w:right w:w="45" w:type="dxa"/>
                  </w:tcMar>
                </w:tcPr>
                <w:p w:rsidR="00C16FF0" w:rsidRDefault="0031597A">
                  <w:pPr>
                    <w:pStyle w:val="p"/>
                  </w:pPr>
                  <w:r>
                    <w:rPr>
                      <w:color w:val="000000"/>
                    </w:rPr>
                    <w:t>&lt; 5 seconds</w:t>
                  </w:r>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Response time</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90% of final reading in ~12 seconds</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Output signal range</w:t>
                  </w:r>
                </w:p>
              </w:tc>
              <w:tc>
                <w:tcPr>
                  <w:tcW w:w="5445" w:type="dxa"/>
                  <w:shd w:val="clear" w:color="auto" w:fill="FFFFFF"/>
                  <w:tcMar>
                    <w:top w:w="45" w:type="dxa"/>
                    <w:left w:w="45" w:type="dxa"/>
                    <w:bottom w:w="45" w:type="dxa"/>
                    <w:right w:w="45" w:type="dxa"/>
                  </w:tcMar>
                </w:tcPr>
                <w:p w:rsidR="00C16FF0" w:rsidRDefault="0031597A">
                  <w:pPr>
                    <w:pStyle w:val="p"/>
                  </w:pPr>
                  <w:r>
                    <w:rPr>
                      <w:color w:val="000000"/>
                    </w:rPr>
                    <w:t>0 to 4.8 VDC; 2.7 to 3.8 VDC @ 21% O</w:t>
                  </w:r>
                  <w:r>
                    <w:rPr>
                      <w:rStyle w:val="sub1"/>
                    </w:rPr>
                    <w:t>2</w:t>
                  </w:r>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Output impedance</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1 KΩ</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Input voltage</w:t>
                  </w:r>
                </w:p>
              </w:tc>
              <w:tc>
                <w:tcPr>
                  <w:tcW w:w="5445" w:type="dxa"/>
                  <w:shd w:val="clear" w:color="auto" w:fill="FFFFFF"/>
                  <w:tcMar>
                    <w:top w:w="45" w:type="dxa"/>
                    <w:left w:w="45" w:type="dxa"/>
                    <w:bottom w:w="45" w:type="dxa"/>
                    <w:right w:w="45" w:type="dxa"/>
                  </w:tcMar>
                </w:tcPr>
                <w:p w:rsidR="00C16FF0" w:rsidRDefault="0031597A">
                  <w:pPr>
                    <w:pStyle w:val="p"/>
                  </w:pPr>
                  <w:r>
                    <w:rPr>
                      <w:color w:val="000000"/>
                    </w:rPr>
                    <w:t>5 VDC +/–0.25 VDC</w:t>
                  </w:r>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Gas sampling mode</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Diffusion</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Normal operating temperature range</w:t>
                  </w:r>
                </w:p>
              </w:tc>
              <w:tc>
                <w:tcPr>
                  <w:tcW w:w="5445" w:type="dxa"/>
                  <w:shd w:val="clear" w:color="auto" w:fill="FFFFFF"/>
                  <w:tcMar>
                    <w:top w:w="45" w:type="dxa"/>
                    <w:left w:w="45" w:type="dxa"/>
                    <w:bottom w:w="45" w:type="dxa"/>
                    <w:right w:w="45" w:type="dxa"/>
                  </w:tcMar>
                </w:tcPr>
                <w:p w:rsidR="00C16FF0" w:rsidRDefault="0031597A">
                  <w:pPr>
                    <w:pStyle w:val="p"/>
                  </w:pPr>
                  <w:r>
                    <w:rPr>
                      <w:color w:val="000000"/>
                    </w:rPr>
                    <w:t>20 to 30°C</w:t>
                  </w:r>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Storage temperature range</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–20 to +60°C</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Pressure range</w:t>
                  </w:r>
                </w:p>
              </w:tc>
              <w:tc>
                <w:tcPr>
                  <w:tcW w:w="5445" w:type="dxa"/>
                  <w:shd w:val="clear" w:color="auto" w:fill="FFFFFF"/>
                  <w:tcMar>
                    <w:top w:w="45" w:type="dxa"/>
                    <w:left w:w="45" w:type="dxa"/>
                    <w:bottom w:w="45" w:type="dxa"/>
                    <w:right w:w="45" w:type="dxa"/>
                  </w:tcMar>
                </w:tcPr>
                <w:p w:rsidR="00C16FF0" w:rsidRDefault="0031597A">
                  <w:pPr>
                    <w:pStyle w:val="p"/>
                  </w:pPr>
                  <w:r>
                    <w:rPr>
                      <w:color w:val="000000"/>
                    </w:rPr>
                    <w:t xml:space="preserve">0.5 to 1.5 </w:t>
                  </w:r>
                  <w:proofErr w:type="spellStart"/>
                  <w:r>
                    <w:rPr>
                      <w:color w:val="000000"/>
                    </w:rPr>
                    <w:t>atm</w:t>
                  </w:r>
                  <w:proofErr w:type="spellEnd"/>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Pressure effect</w:t>
                  </w:r>
                </w:p>
              </w:tc>
              <w:tc>
                <w:tcPr>
                  <w:tcW w:w="5445" w:type="dxa"/>
                  <w:shd w:val="clear" w:color="auto" w:fill="E0DCDC"/>
                  <w:tcMar>
                    <w:top w:w="45" w:type="dxa"/>
                    <w:left w:w="45" w:type="dxa"/>
                    <w:bottom w:w="45" w:type="dxa"/>
                    <w:right w:w="45" w:type="dxa"/>
                  </w:tcMar>
                </w:tcPr>
                <w:p w:rsidR="00C16FF0" w:rsidRDefault="0031597A">
                  <w:pPr>
                    <w:pStyle w:val="p"/>
                  </w:pPr>
                  <w:r>
                    <w:rPr>
                      <w:color w:val="000000"/>
                    </w:rPr>
                    <w:t>Directly proportional</w:t>
                  </w:r>
                </w:p>
                <w:p w:rsidR="00C16FF0" w:rsidRDefault="0031597A">
                  <w:pPr>
                    <w:pStyle w:val="p"/>
                  </w:pPr>
                  <w:proofErr w:type="spellStart"/>
                  <w:r>
                    <w:rPr>
                      <w:color w:val="000000"/>
                    </w:rPr>
                    <w:t>V</w:t>
                  </w:r>
                  <w:r>
                    <w:rPr>
                      <w:rStyle w:val="sub1"/>
                    </w:rPr>
                    <w:t>out</w:t>
                  </w:r>
                  <w:proofErr w:type="spellEnd"/>
                  <w:r>
                    <w:rPr>
                      <w:color w:val="000000"/>
                    </w:rPr>
                    <w:t xml:space="preserve"> = </w:t>
                  </w:r>
                  <w:proofErr w:type="spellStart"/>
                  <w:r>
                    <w:rPr>
                      <w:color w:val="000000"/>
                    </w:rPr>
                    <w:t>V</w:t>
                  </w:r>
                  <w:r>
                    <w:rPr>
                      <w:rStyle w:val="sub1"/>
                    </w:rPr>
                    <w:t>out</w:t>
                  </w:r>
                  <w:proofErr w:type="spellEnd"/>
                  <w:r>
                    <w:rPr>
                      <w:color w:val="000000"/>
                    </w:rPr>
                    <w:t xml:space="preserve"> (standard) × (P/1013)</w:t>
                  </w:r>
                </w:p>
              </w:tc>
            </w:tr>
            <w:tr w:rsidR="00C16FF0">
              <w:tc>
                <w:tcPr>
                  <w:tcW w:w="3225" w:type="dxa"/>
                  <w:shd w:val="clear" w:color="auto" w:fill="FFFFFF"/>
                  <w:tcMar>
                    <w:top w:w="45" w:type="dxa"/>
                    <w:left w:w="45" w:type="dxa"/>
                    <w:bottom w:w="45" w:type="dxa"/>
                    <w:right w:w="45" w:type="dxa"/>
                  </w:tcMar>
                </w:tcPr>
                <w:p w:rsidR="00C16FF0" w:rsidRDefault="0031597A">
                  <w:pPr>
                    <w:pStyle w:val="p"/>
                  </w:pPr>
                  <w:r>
                    <w:rPr>
                      <w:color w:val="000000"/>
                    </w:rPr>
                    <w:t>Default calibration values</w:t>
                  </w:r>
                </w:p>
              </w:tc>
              <w:tc>
                <w:tcPr>
                  <w:tcW w:w="5445" w:type="dxa"/>
                  <w:shd w:val="clear" w:color="auto" w:fill="FFFFFF"/>
                  <w:tcMar>
                    <w:top w:w="45" w:type="dxa"/>
                    <w:left w:w="45" w:type="dxa"/>
                    <w:bottom w:w="45" w:type="dxa"/>
                    <w:right w:w="45" w:type="dxa"/>
                  </w:tcMar>
                </w:tcPr>
                <w:p w:rsidR="00C16FF0" w:rsidRDefault="0031597A">
                  <w:pPr>
                    <w:pStyle w:val="li1"/>
                    <w:numPr>
                      <w:ilvl w:val="0"/>
                      <w:numId w:val="4"/>
                    </w:numPr>
                  </w:pPr>
                  <w:r>
                    <w:rPr>
                      <w:color w:val="000000"/>
                    </w:rPr>
                    <w:t>slope: 6.5625 %/V</w:t>
                  </w:r>
                </w:p>
                <w:p w:rsidR="00C16FF0" w:rsidRDefault="0031597A">
                  <w:pPr>
                    <w:pStyle w:val="li1"/>
                    <w:numPr>
                      <w:ilvl w:val="0"/>
                      <w:numId w:val="4"/>
                    </w:numPr>
                    <w:spacing w:after="133"/>
                  </w:pPr>
                  <w:r>
                    <w:rPr>
                      <w:color w:val="000000"/>
                    </w:rPr>
                    <w:t>intercept: 0%</w:t>
                  </w:r>
                </w:p>
              </w:tc>
            </w:tr>
            <w:tr w:rsidR="00C16FF0">
              <w:tc>
                <w:tcPr>
                  <w:tcW w:w="3225" w:type="dxa"/>
                  <w:shd w:val="clear" w:color="auto" w:fill="E0DCDC"/>
                  <w:tcMar>
                    <w:top w:w="45" w:type="dxa"/>
                    <w:left w:w="45" w:type="dxa"/>
                    <w:bottom w:w="45" w:type="dxa"/>
                    <w:right w:w="45" w:type="dxa"/>
                  </w:tcMar>
                </w:tcPr>
                <w:p w:rsidR="00C16FF0" w:rsidRDefault="0031597A">
                  <w:pPr>
                    <w:pStyle w:val="p"/>
                  </w:pPr>
                  <w:r>
                    <w:rPr>
                      <w:color w:val="000000"/>
                    </w:rPr>
                    <w:t>Dimensions</w:t>
                  </w:r>
                </w:p>
              </w:tc>
              <w:tc>
                <w:tcPr>
                  <w:tcW w:w="5445" w:type="dxa"/>
                  <w:shd w:val="clear" w:color="auto" w:fill="E0DCDC"/>
                  <w:tcMar>
                    <w:top w:w="45" w:type="dxa"/>
                    <w:left w:w="45" w:type="dxa"/>
                    <w:bottom w:w="45" w:type="dxa"/>
                    <w:right w:w="45" w:type="dxa"/>
                  </w:tcMar>
                </w:tcPr>
                <w:p w:rsidR="00C16FF0" w:rsidRDefault="0031597A">
                  <w:pPr>
                    <w:pStyle w:val="li1"/>
                    <w:numPr>
                      <w:ilvl w:val="0"/>
                      <w:numId w:val="5"/>
                    </w:numPr>
                  </w:pPr>
                  <w:r>
                    <w:rPr>
                      <w:color w:val="000000"/>
                    </w:rPr>
                    <w:t>Sensor tube: 45 mm length, 28 mm OD</w:t>
                  </w:r>
                </w:p>
                <w:p w:rsidR="00C16FF0" w:rsidRDefault="0031597A">
                  <w:pPr>
                    <w:pStyle w:val="li1"/>
                    <w:numPr>
                      <w:ilvl w:val="0"/>
                      <w:numId w:val="5"/>
                    </w:numPr>
                    <w:spacing w:after="133"/>
                  </w:pPr>
                  <w:r>
                    <w:rPr>
                      <w:color w:val="000000"/>
                    </w:rPr>
                    <w:t>Total length: 120 mm</w:t>
                  </w:r>
                </w:p>
              </w:tc>
            </w:tr>
          </w:tbl>
          <w:p w:rsidR="00C16FF0" w:rsidRDefault="00C16FF0"/>
          <w:p w:rsidR="00C16FF0" w:rsidRDefault="00C16FF0"/>
        </w:tc>
      </w:tr>
    </w:tbl>
    <w:p w:rsidR="00C16FF0" w:rsidRDefault="0031597A">
      <w:pPr>
        <w:pStyle w:val="h2"/>
      </w:pPr>
      <w:r>
        <w:rPr>
          <w:color w:val="000000"/>
        </w:rPr>
        <w:t>Care and Maintenance</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r>
              <w:rPr>
                <w:rStyle w:val="b"/>
              </w:rPr>
              <w:t>Important:</w:t>
            </w:r>
            <w:r>
              <w:rPr>
                <w:color w:val="000000"/>
              </w:rPr>
              <w:t xml:space="preserve"> The O</w:t>
            </w:r>
            <w:r>
              <w:rPr>
                <w:rStyle w:val="sub1"/>
              </w:rPr>
              <w:t>2</w:t>
            </w:r>
            <w:r>
              <w:rPr>
                <w:color w:val="000000"/>
              </w:rPr>
              <w:t xml:space="preserve"> Gas Sensor must be stored upright when not in use. This is necessary to maintain the sensor. Failure to store upright will shorten the life of the sensor.</w:t>
            </w:r>
          </w:p>
          <w:p w:rsidR="00C16FF0" w:rsidRDefault="0031597A">
            <w:pPr>
              <w:pStyle w:val="p"/>
            </w:pPr>
            <w:r>
              <w:rPr>
                <w:color w:val="000000"/>
              </w:rPr>
              <w:t>As your O</w:t>
            </w:r>
            <w:r>
              <w:rPr>
                <w:rStyle w:val="sub1"/>
              </w:rPr>
              <w:t>2</w:t>
            </w:r>
            <w:r>
              <w:rPr>
                <w:color w:val="000000"/>
              </w:rPr>
              <w:t xml:space="preserve"> Gas Sensor ages, the readings will decrease. This is normal, as the chemicals in the electrochemical cell are depleted. It does not mean the sensor is no longer functional; rather, it simply requires that you perform a calibration and store it as described previously. Once the readings in air are below 12% prior to calibration, or 1.8 </w:t>
            </w:r>
            <w:r>
              <w:rPr>
                <w:color w:val="000000"/>
              </w:rPr>
              <w:lastRenderedPageBreak/>
              <w:t>volts during calibration, the sensor should be replaced. You may choose to have your sensor refurbished and a new element installed, or you may purchase a new sensor.</w:t>
            </w:r>
          </w:p>
          <w:p w:rsidR="00C16FF0" w:rsidRDefault="0031597A">
            <w:pPr>
              <w:pStyle w:val="p"/>
            </w:pPr>
            <w:r>
              <w:rPr>
                <w:color w:val="000000"/>
              </w:rPr>
              <w:t>For tips on how to extend the life of the O</w:t>
            </w:r>
            <w:r>
              <w:rPr>
                <w:rStyle w:val="sub1"/>
              </w:rPr>
              <w:t>2</w:t>
            </w:r>
            <w:r>
              <w:rPr>
                <w:color w:val="000000"/>
              </w:rPr>
              <w:t xml:space="preserve"> Gas Sensor, see </w:t>
            </w:r>
            <w:hyperlink r:id="rId15" w:history="1">
              <w:r>
                <w:rPr>
                  <w:rFonts w:ascii="Arial" w:hAnsi="Arial" w:cs="Arial"/>
                  <w:b/>
                  <w:bCs/>
                  <w:color w:val="000000"/>
                  <w:sz w:val="16"/>
                  <w:szCs w:val="16"/>
                </w:rPr>
                <w:t>www.vernier.com/til/2588</w:t>
              </w:r>
            </w:hyperlink>
          </w:p>
        </w:tc>
      </w:tr>
    </w:tbl>
    <w:p w:rsidR="00C16FF0" w:rsidRDefault="0031597A">
      <w:pPr>
        <w:pStyle w:val="h2"/>
      </w:pPr>
      <w:r>
        <w:rPr>
          <w:color w:val="000000"/>
        </w:rPr>
        <w:lastRenderedPageBreak/>
        <w:t>How the Sensor Works</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r>
              <w:rPr>
                <w:color w:val="000000"/>
              </w:rPr>
              <w:t xml:space="preserve">The </w:t>
            </w:r>
            <w:proofErr w:type="spellStart"/>
            <w:r>
              <w:rPr>
                <w:color w:val="000000"/>
              </w:rPr>
              <w:t>Vernier</w:t>
            </w:r>
            <w:proofErr w:type="spellEnd"/>
            <w:r>
              <w:rPr>
                <w:color w:val="000000"/>
              </w:rPr>
              <w:t xml:space="preserve"> O</w:t>
            </w:r>
            <w:r>
              <w:rPr>
                <w:rStyle w:val="sub1"/>
              </w:rPr>
              <w:t>2</w:t>
            </w:r>
            <w:r>
              <w:rPr>
                <w:color w:val="000000"/>
              </w:rPr>
              <w:t xml:space="preserve"> Gas Sensor measures the oxygen concentration in the range of 0 to 27% using an electrochemical cell. The cell contains a lead anode and a gold cathode immersed in an electrolyte. Oxygen molecules entering the cell are electrochemically reduced at the gold cathode. This electrochemical reaction generates a current that is proportional to the oxygen concentration between the electrodes. The sensor output is a conditioned voltage proportional to the reaction current.</w:t>
            </w:r>
          </w:p>
        </w:tc>
      </w:tr>
    </w:tbl>
    <w:p w:rsidR="00C16FF0" w:rsidRDefault="0031597A">
      <w:pPr>
        <w:pStyle w:val="h2"/>
      </w:pPr>
      <w:r>
        <w:rPr>
          <w:color w:val="000000"/>
        </w:rPr>
        <w:t>Troubleshooting</w:t>
      </w:r>
    </w:p>
    <w:tbl>
      <w:tblPr>
        <w:tblW w:w="5000" w:type="pct"/>
        <w:tblCellMar>
          <w:left w:w="10" w:type="dxa"/>
          <w:right w:w="10" w:type="dxa"/>
        </w:tblCellMar>
        <w:tblLook w:val="04A0"/>
      </w:tblPr>
      <w:tblGrid>
        <w:gridCol w:w="7220"/>
      </w:tblGrid>
      <w:tr w:rsidR="00C16FF0">
        <w:tc>
          <w:tcPr>
            <w:tcW w:w="0" w:type="auto"/>
          </w:tcPr>
          <w:p w:rsidR="00C16FF0" w:rsidRDefault="0031597A">
            <w:pPr>
              <w:pStyle w:val="li"/>
              <w:numPr>
                <w:ilvl w:val="0"/>
                <w:numId w:val="6"/>
              </w:numPr>
            </w:pPr>
            <w:r>
              <w:rPr>
                <w:color w:val="000000"/>
              </w:rPr>
              <w:t>Even though the sensor responds rather quickly to changes in O</w:t>
            </w:r>
            <w:r>
              <w:rPr>
                <w:rStyle w:val="sub1"/>
              </w:rPr>
              <w:t>2</w:t>
            </w:r>
            <w:r>
              <w:rPr>
                <w:color w:val="000000"/>
              </w:rPr>
              <w:t> concentration, the gas has to diffuse into the electrochemical cell located at the top of the sensor shaft before any changes in concentration can be detected. Because the diffusion of a gas is a slow process, there can be some delay in readings.</w:t>
            </w:r>
          </w:p>
          <w:p w:rsidR="00C16FF0" w:rsidRDefault="0031597A">
            <w:pPr>
              <w:pStyle w:val="li"/>
              <w:numPr>
                <w:ilvl w:val="0"/>
                <w:numId w:val="6"/>
              </w:numPr>
            </w:pPr>
            <w:r>
              <w:rPr>
                <w:color w:val="000000"/>
              </w:rPr>
              <w:t xml:space="preserve">To collect data in a controlled environment, we recommend that you use the 250 </w:t>
            </w:r>
            <w:proofErr w:type="spellStart"/>
            <w:r>
              <w:rPr>
                <w:color w:val="000000"/>
              </w:rPr>
              <w:t>mL</w:t>
            </w:r>
            <w:proofErr w:type="spellEnd"/>
            <w:r>
              <w:rPr>
                <w:color w:val="000000"/>
              </w:rPr>
              <w:t xml:space="preserve"> </w:t>
            </w:r>
            <w:proofErr w:type="spellStart"/>
            <w:r>
              <w:rPr>
                <w:color w:val="000000"/>
              </w:rPr>
              <w:t>Nalgene</w:t>
            </w:r>
            <w:proofErr w:type="spellEnd"/>
            <w:r>
              <w:rPr>
                <w:color w:val="000000"/>
              </w:rPr>
              <w:t xml:space="preserve"> collection bottle that is included with your sensor. Place the tip of the sensor into the opening of the bottle and push the sensor into the bottle. When the sensor will go no further, you have a seal. </w:t>
            </w:r>
            <w:r>
              <w:rPr>
                <w:rStyle w:val="b"/>
              </w:rPr>
              <w:t>Very important:</w:t>
            </w:r>
            <w:r>
              <w:rPr>
                <w:color w:val="000000"/>
              </w:rPr>
              <w:t xml:space="preserve"> Do not place the sensor into any liquid. The sensor is intended only for measuring gaseous, not aqueous, O</w:t>
            </w:r>
            <w:r>
              <w:rPr>
                <w:rStyle w:val="sub1"/>
              </w:rPr>
              <w:t>2</w:t>
            </w:r>
            <w:r>
              <w:rPr>
                <w:color w:val="000000"/>
              </w:rPr>
              <w:t xml:space="preserve"> concentration.</w:t>
            </w:r>
          </w:p>
          <w:p w:rsidR="00C16FF0" w:rsidRDefault="0031597A">
            <w:pPr>
              <w:pStyle w:val="li"/>
              <w:numPr>
                <w:ilvl w:val="0"/>
                <w:numId w:val="6"/>
              </w:numPr>
              <w:spacing w:after="133"/>
            </w:pPr>
            <w:r>
              <w:rPr>
                <w:color w:val="000000"/>
              </w:rPr>
              <w:t>To collect data in a controlled environment and also use our CO</w:t>
            </w:r>
            <w:r>
              <w:rPr>
                <w:rStyle w:val="sub1"/>
              </w:rPr>
              <w:t>2</w:t>
            </w:r>
            <w:r>
              <w:rPr>
                <w:color w:val="000000"/>
              </w:rPr>
              <w:t xml:space="preserve"> Gas Sensor, we recommend purchasing either the </w:t>
            </w:r>
            <w:proofErr w:type="spellStart"/>
            <w:r>
              <w:rPr>
                <w:color w:val="000000"/>
              </w:rPr>
              <w:t>BioChamber</w:t>
            </w:r>
            <w:proofErr w:type="spellEnd"/>
            <w:r>
              <w:rPr>
                <w:color w:val="000000"/>
              </w:rPr>
              <w:t xml:space="preserve"> 250 (250 </w:t>
            </w:r>
            <w:proofErr w:type="spellStart"/>
            <w:r>
              <w:rPr>
                <w:color w:val="000000"/>
              </w:rPr>
              <w:t>mL</w:t>
            </w:r>
            <w:proofErr w:type="spellEnd"/>
            <w:r>
              <w:rPr>
                <w:color w:val="000000"/>
              </w:rPr>
              <w:t xml:space="preserve"> capacity) or the </w:t>
            </w:r>
            <w:proofErr w:type="spellStart"/>
            <w:r>
              <w:rPr>
                <w:color w:val="000000"/>
              </w:rPr>
              <w:t>BioChamber</w:t>
            </w:r>
            <w:proofErr w:type="spellEnd"/>
            <w:r>
              <w:rPr>
                <w:color w:val="000000"/>
              </w:rPr>
              <w:t xml:space="preserve"> 2000 (2 L capacity). Each </w:t>
            </w:r>
            <w:proofErr w:type="spellStart"/>
            <w:r>
              <w:rPr>
                <w:color w:val="000000"/>
              </w:rPr>
              <w:t>BioChamber</w:t>
            </w:r>
            <w:proofErr w:type="spellEnd"/>
            <w:r>
              <w:rPr>
                <w:color w:val="000000"/>
              </w:rPr>
              <w:t xml:space="preserve"> has a second, </w:t>
            </w:r>
            <w:proofErr w:type="spellStart"/>
            <w:r>
              <w:rPr>
                <w:color w:val="000000"/>
              </w:rPr>
              <w:t>grommetted</w:t>
            </w:r>
            <w:proofErr w:type="spellEnd"/>
            <w:r>
              <w:rPr>
                <w:color w:val="000000"/>
              </w:rPr>
              <w:t xml:space="preserve"> opening so that you can insert two probes at once.</w:t>
            </w:r>
          </w:p>
        </w:tc>
      </w:tr>
    </w:tbl>
    <w:p w:rsidR="00C16FF0" w:rsidRDefault="0031597A">
      <w:pPr>
        <w:pStyle w:val="h2"/>
      </w:pPr>
      <w:r>
        <w:rPr>
          <w:color w:val="000000"/>
        </w:rPr>
        <w:t>Repair Information</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r>
              <w:rPr>
                <w:color w:val="000000"/>
              </w:rPr>
              <w:t>If you have watched the related product video(s), followed the troubleshooting steps, and are still having trouble with your O</w:t>
            </w:r>
            <w:r>
              <w:rPr>
                <w:rStyle w:val="sub1"/>
              </w:rPr>
              <w:t>2</w:t>
            </w:r>
            <w:r>
              <w:rPr>
                <w:color w:val="000000"/>
              </w:rPr>
              <w:t xml:space="preserve"> Gas Sensor, contact </w:t>
            </w:r>
            <w:proofErr w:type="spellStart"/>
            <w:r>
              <w:rPr>
                <w:color w:val="000000"/>
              </w:rPr>
              <w:t>Vernier</w:t>
            </w:r>
            <w:proofErr w:type="spellEnd"/>
            <w:r>
              <w:rPr>
                <w:color w:val="000000"/>
              </w:rPr>
              <w:t xml:space="preserve"> Technical Support at support@vernier.com or call 888-837-6437. Support specialists will work with you to determine if the unit needs to be sent in for repair. At that time, a Return Merchandise Authorization (RMA) number will be issued and instructions will be communicated on how to return the unit for repair.</w:t>
            </w:r>
          </w:p>
          <w:p w:rsidR="00C16FF0" w:rsidRDefault="0031597A">
            <w:pPr>
              <w:pStyle w:val="p"/>
            </w:pPr>
            <w:r>
              <w:rPr>
                <w:color w:val="000000"/>
              </w:rPr>
              <w:t>For information on common repairs for the O</w:t>
            </w:r>
            <w:r>
              <w:rPr>
                <w:rStyle w:val="sub1"/>
              </w:rPr>
              <w:t>2</w:t>
            </w:r>
            <w:r>
              <w:rPr>
                <w:color w:val="000000"/>
              </w:rPr>
              <w:t xml:space="preserve"> Gas Sensor, see </w:t>
            </w:r>
            <w:hyperlink r:id="rId16" w:history="1">
              <w:r>
                <w:rPr>
                  <w:rFonts w:ascii="Arial" w:hAnsi="Arial" w:cs="Arial"/>
                  <w:b/>
                  <w:bCs/>
                  <w:color w:val="000000"/>
                  <w:sz w:val="16"/>
                  <w:szCs w:val="16"/>
                </w:rPr>
                <w:t>www.vernier.com/til/1605</w:t>
              </w:r>
            </w:hyperlink>
          </w:p>
        </w:tc>
      </w:tr>
    </w:tbl>
    <w:p w:rsidR="00C16FF0" w:rsidRDefault="0031597A">
      <w:pPr>
        <w:pStyle w:val="h2"/>
      </w:pPr>
      <w:r>
        <w:rPr>
          <w:color w:val="000000"/>
        </w:rPr>
        <w:t>Accessories/Replacements</w:t>
      </w:r>
    </w:p>
    <w:tbl>
      <w:tblPr>
        <w:tblW w:w="5000" w:type="pct"/>
        <w:tblCellMar>
          <w:left w:w="10" w:type="dxa"/>
          <w:right w:w="10" w:type="dxa"/>
        </w:tblCellMar>
        <w:tblLook w:val="04A0"/>
      </w:tblPr>
      <w:tblGrid>
        <w:gridCol w:w="7220"/>
      </w:tblGrid>
      <w:tr w:rsidR="00C16FF0">
        <w:tc>
          <w:tcPr>
            <w:tcW w:w="0" w:type="auto"/>
          </w:tcPr>
          <w:tbl>
            <w:tblPr>
              <w:tblW w:w="5000" w:type="pct"/>
              <w:tblCellMar>
                <w:left w:w="10" w:type="dxa"/>
                <w:right w:w="10" w:type="dxa"/>
              </w:tblCellMar>
              <w:tblLook w:val="04A0"/>
            </w:tblPr>
            <w:tblGrid>
              <w:gridCol w:w="4852"/>
              <w:gridCol w:w="2348"/>
            </w:tblGrid>
            <w:tr w:rsidR="00C16FF0">
              <w:trPr>
                <w:tblHeader/>
              </w:trPr>
              <w:tc>
                <w:tcPr>
                  <w:tcW w:w="5880" w:type="dxa"/>
                </w:tcPr>
                <w:p w:rsidR="00C16FF0" w:rsidRDefault="0031597A">
                  <w:pPr>
                    <w:pStyle w:val="thTableStyle-NoLines-HeadE-Column1-Header1"/>
                  </w:pPr>
                  <w:r>
                    <w:rPr>
                      <w:color w:val="000000"/>
                    </w:rPr>
                    <w:t>Item</w:t>
                  </w:r>
                </w:p>
              </w:tc>
              <w:tc>
                <w:tcPr>
                  <w:tcW w:w="2820" w:type="dxa"/>
                </w:tcPr>
                <w:p w:rsidR="00C16FF0" w:rsidRDefault="0031597A">
                  <w:pPr>
                    <w:pStyle w:val="thTableStyle-NoLines-HeadD-Column1-Header1"/>
                    <w:jc w:val="left"/>
                  </w:pPr>
                  <w:r>
                    <w:rPr>
                      <w:color w:val="000000"/>
                    </w:rPr>
                    <w:t>Order Code</w:t>
                  </w:r>
                </w:p>
              </w:tc>
            </w:tr>
            <w:tr w:rsidR="00C16FF0">
              <w:tc>
                <w:tcPr>
                  <w:tcW w:w="5880" w:type="dxa"/>
                </w:tcPr>
                <w:p w:rsidR="00C16FF0" w:rsidRDefault="004B174B">
                  <w:pPr>
                    <w:pStyle w:val="p"/>
                  </w:pPr>
                  <w:hyperlink r:id="rId17" w:history="1">
                    <w:proofErr w:type="spellStart"/>
                    <w:r w:rsidR="0031597A">
                      <w:rPr>
                        <w:rFonts w:ascii="Arial" w:hAnsi="Arial" w:cs="Arial"/>
                        <w:b/>
                        <w:bCs/>
                        <w:color w:val="000000"/>
                        <w:sz w:val="16"/>
                        <w:szCs w:val="16"/>
                      </w:rPr>
                      <w:t>BioChamber</w:t>
                    </w:r>
                    <w:proofErr w:type="spellEnd"/>
                    <w:r w:rsidR="0031597A">
                      <w:rPr>
                        <w:rFonts w:ascii="Arial" w:hAnsi="Arial" w:cs="Arial"/>
                        <w:b/>
                        <w:bCs/>
                        <w:color w:val="000000"/>
                        <w:sz w:val="16"/>
                        <w:szCs w:val="16"/>
                      </w:rPr>
                      <w:t xml:space="preserve"> 250</w:t>
                    </w:r>
                  </w:hyperlink>
                </w:p>
              </w:tc>
              <w:tc>
                <w:tcPr>
                  <w:tcW w:w="2820" w:type="dxa"/>
                </w:tcPr>
                <w:p w:rsidR="00C16FF0" w:rsidRDefault="0031597A">
                  <w:pPr>
                    <w:pStyle w:val="p"/>
                  </w:pPr>
                  <w:r>
                    <w:rPr>
                      <w:color w:val="000000"/>
                    </w:rPr>
                    <w:t>BC-250</w:t>
                  </w:r>
                </w:p>
              </w:tc>
            </w:tr>
            <w:tr w:rsidR="00C16FF0">
              <w:trPr>
                <w:trHeight w:val="255"/>
              </w:trPr>
              <w:tc>
                <w:tcPr>
                  <w:tcW w:w="5880" w:type="dxa"/>
                </w:tcPr>
                <w:p w:rsidR="00C16FF0" w:rsidRDefault="004B174B">
                  <w:pPr>
                    <w:pStyle w:val="p"/>
                  </w:pPr>
                  <w:hyperlink r:id="rId18" w:history="1">
                    <w:proofErr w:type="spellStart"/>
                    <w:r w:rsidR="0031597A">
                      <w:rPr>
                        <w:rFonts w:ascii="Arial" w:hAnsi="Arial" w:cs="Arial"/>
                        <w:b/>
                        <w:bCs/>
                        <w:color w:val="000000"/>
                        <w:sz w:val="16"/>
                        <w:szCs w:val="16"/>
                      </w:rPr>
                      <w:t>BioChamber</w:t>
                    </w:r>
                    <w:proofErr w:type="spellEnd"/>
                    <w:r w:rsidR="0031597A">
                      <w:rPr>
                        <w:rFonts w:ascii="Arial" w:hAnsi="Arial" w:cs="Arial"/>
                        <w:b/>
                        <w:bCs/>
                        <w:color w:val="000000"/>
                        <w:sz w:val="16"/>
                        <w:szCs w:val="16"/>
                      </w:rPr>
                      <w:t xml:space="preserve"> 2000 </w:t>
                    </w:r>
                  </w:hyperlink>
                </w:p>
              </w:tc>
              <w:tc>
                <w:tcPr>
                  <w:tcW w:w="2820" w:type="dxa"/>
                </w:tcPr>
                <w:p w:rsidR="00C16FF0" w:rsidRDefault="0031597A">
                  <w:pPr>
                    <w:pStyle w:val="p"/>
                  </w:pPr>
                  <w:r>
                    <w:rPr>
                      <w:color w:val="000000"/>
                    </w:rPr>
                    <w:t>BC-2000</w:t>
                  </w:r>
                </w:p>
              </w:tc>
            </w:tr>
            <w:tr w:rsidR="00C16FF0">
              <w:trPr>
                <w:trHeight w:val="255"/>
              </w:trPr>
              <w:tc>
                <w:tcPr>
                  <w:tcW w:w="5880" w:type="dxa"/>
                </w:tcPr>
                <w:p w:rsidR="00C16FF0" w:rsidRDefault="004B174B">
                  <w:pPr>
                    <w:pStyle w:val="p"/>
                  </w:pPr>
                  <w:hyperlink r:id="rId19" w:history="1">
                    <w:r w:rsidR="0031597A">
                      <w:rPr>
                        <w:rFonts w:ascii="Arial" w:hAnsi="Arial" w:cs="Arial"/>
                        <w:b/>
                        <w:bCs/>
                        <w:color w:val="000000"/>
                        <w:sz w:val="16"/>
                        <w:szCs w:val="16"/>
                      </w:rPr>
                      <w:t xml:space="preserve">250 </w:t>
                    </w:r>
                    <w:proofErr w:type="spellStart"/>
                    <w:r w:rsidR="0031597A">
                      <w:rPr>
                        <w:rFonts w:ascii="Arial" w:hAnsi="Arial" w:cs="Arial"/>
                        <w:b/>
                        <w:bCs/>
                        <w:color w:val="000000"/>
                        <w:sz w:val="16"/>
                        <w:szCs w:val="16"/>
                      </w:rPr>
                      <w:t>mL</w:t>
                    </w:r>
                    <w:proofErr w:type="spellEnd"/>
                    <w:r w:rsidR="0031597A">
                      <w:rPr>
                        <w:rFonts w:ascii="Arial" w:hAnsi="Arial" w:cs="Arial"/>
                        <w:b/>
                        <w:bCs/>
                        <w:color w:val="000000"/>
                        <w:sz w:val="16"/>
                        <w:szCs w:val="16"/>
                      </w:rPr>
                      <w:t xml:space="preserve"> </w:t>
                    </w:r>
                    <w:proofErr w:type="spellStart"/>
                    <w:r w:rsidR="0031597A">
                      <w:rPr>
                        <w:rFonts w:ascii="Arial" w:hAnsi="Arial" w:cs="Arial"/>
                        <w:b/>
                        <w:bCs/>
                        <w:color w:val="000000"/>
                        <w:sz w:val="16"/>
                        <w:szCs w:val="16"/>
                      </w:rPr>
                      <w:t>Nalgene</w:t>
                    </w:r>
                    <w:proofErr w:type="spellEnd"/>
                    <w:r w:rsidR="0031597A">
                      <w:rPr>
                        <w:rFonts w:ascii="Arial" w:hAnsi="Arial" w:cs="Arial"/>
                        <w:b/>
                        <w:bCs/>
                        <w:color w:val="000000"/>
                        <w:sz w:val="16"/>
                        <w:szCs w:val="16"/>
                      </w:rPr>
                      <w:t xml:space="preserve"> Bottle w/Lid </w:t>
                    </w:r>
                  </w:hyperlink>
                </w:p>
              </w:tc>
              <w:tc>
                <w:tcPr>
                  <w:tcW w:w="2820" w:type="dxa"/>
                </w:tcPr>
                <w:p w:rsidR="00C16FF0" w:rsidRDefault="0031597A">
                  <w:pPr>
                    <w:pStyle w:val="p"/>
                  </w:pPr>
                  <w:r>
                    <w:rPr>
                      <w:color w:val="000000"/>
                    </w:rPr>
                    <w:t>CO2-BTL</w:t>
                  </w:r>
                </w:p>
              </w:tc>
            </w:tr>
          </w:tbl>
          <w:p w:rsidR="00C16FF0" w:rsidRDefault="0031597A">
            <w:pPr>
              <w:pStyle w:val="p"/>
              <w:spacing w:after="0"/>
            </w:pPr>
            <w:r>
              <w:rPr>
                <w:color w:val="000000"/>
              </w:rPr>
              <w:t xml:space="preserve">The </w:t>
            </w:r>
            <w:proofErr w:type="spellStart"/>
            <w:r>
              <w:rPr>
                <w:color w:val="000000"/>
              </w:rPr>
              <w:t>BioChambers</w:t>
            </w:r>
            <w:proofErr w:type="spellEnd"/>
            <w:r>
              <w:rPr>
                <w:color w:val="000000"/>
              </w:rPr>
              <w:t xml:space="preserve"> have two openings with grommets so that you can insert both the CO</w:t>
            </w:r>
            <w:r>
              <w:rPr>
                <w:rStyle w:val="sub1"/>
              </w:rPr>
              <w:t>2</w:t>
            </w:r>
            <w:r>
              <w:rPr>
                <w:color w:val="000000"/>
              </w:rPr>
              <w:t xml:space="preserve"> Gas Sensor and the O</w:t>
            </w:r>
            <w:r>
              <w:rPr>
                <w:rStyle w:val="sub1"/>
              </w:rPr>
              <w:t>2</w:t>
            </w:r>
            <w:r>
              <w:rPr>
                <w:color w:val="000000"/>
              </w:rPr>
              <w:t xml:space="preserve"> Gas Sensor to take measurements of the atmosphere inside the </w:t>
            </w:r>
            <w:proofErr w:type="spellStart"/>
            <w:r>
              <w:rPr>
                <w:color w:val="000000"/>
              </w:rPr>
              <w:t>BioChamber</w:t>
            </w:r>
            <w:proofErr w:type="spellEnd"/>
            <w:r>
              <w:rPr>
                <w:color w:val="000000"/>
              </w:rPr>
              <w:t xml:space="preserve"> simultaneously.</w:t>
            </w:r>
          </w:p>
          <w:p w:rsidR="00C16FF0" w:rsidRDefault="00C16FF0"/>
        </w:tc>
      </w:tr>
    </w:tbl>
    <w:p w:rsidR="00C16FF0" w:rsidRDefault="00C16FF0">
      <w:pPr>
        <w:spacing w:before="40"/>
      </w:pPr>
    </w:p>
    <w:p w:rsidR="00C16FF0" w:rsidRDefault="00C16FF0">
      <w:pPr>
        <w:spacing w:after="40"/>
      </w:pPr>
    </w:p>
    <w:p w:rsidR="00C16FF0" w:rsidRDefault="0031597A">
      <w:pPr>
        <w:pStyle w:val="h2"/>
      </w:pPr>
      <w:r>
        <w:rPr>
          <w:color w:val="000000"/>
        </w:rPr>
        <w:t>Warranty</w:t>
      </w:r>
    </w:p>
    <w:tbl>
      <w:tblPr>
        <w:tblW w:w="5000" w:type="pct"/>
        <w:tblCellMar>
          <w:left w:w="10" w:type="dxa"/>
          <w:right w:w="10" w:type="dxa"/>
        </w:tblCellMar>
        <w:tblLook w:val="04A0"/>
      </w:tblPr>
      <w:tblGrid>
        <w:gridCol w:w="7220"/>
      </w:tblGrid>
      <w:tr w:rsidR="00C16FF0">
        <w:tc>
          <w:tcPr>
            <w:tcW w:w="0" w:type="auto"/>
          </w:tcPr>
          <w:p w:rsidR="00C16FF0" w:rsidRDefault="0031597A">
            <w:pPr>
              <w:pStyle w:val="p"/>
            </w:pPr>
            <w:proofErr w:type="spellStart"/>
            <w:r>
              <w:rPr>
                <w:color w:val="000000"/>
              </w:rPr>
              <w:t>Vernier</w:t>
            </w:r>
            <w:proofErr w:type="spellEnd"/>
            <w:r>
              <w:rPr>
                <w:color w:val="000000"/>
              </w:rPr>
              <w:t xml:space="preserve"> warrants this product to be free from defects in materials and workmanship for a period of five years from the date of shipment to the customer. This warranty does not cover damage to the product caused by abuse or improper use. This warranty covers educational institutions only.</w:t>
            </w:r>
          </w:p>
        </w:tc>
      </w:tr>
    </w:tbl>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t> </w:t>
      </w:r>
    </w:p>
    <w:p w:rsidR="00C16FF0" w:rsidRDefault="0031597A">
      <w:pPr>
        <w:pStyle w:val="p"/>
      </w:pPr>
      <w:r>
        <w:rPr>
          <w:color w:val="000000"/>
        </w:rPr>
        <w:lastRenderedPageBreak/>
        <w:t> </w:t>
      </w:r>
    </w:p>
    <w:p w:rsidR="00C16FF0" w:rsidRDefault="0031597A">
      <w:pPr>
        <w:pStyle w:val="p"/>
      </w:pPr>
      <w:r>
        <w:rPr>
          <w:color w:val="000000"/>
        </w:rPr>
        <w:t> </w:t>
      </w:r>
    </w:p>
    <w:p w:rsidR="00C16FF0" w:rsidRDefault="00E001CF">
      <w:pPr>
        <w:pStyle w:val="p"/>
        <w:jc w:val="center"/>
      </w:pPr>
      <w:r>
        <w:rPr>
          <w:noProof/>
        </w:rPr>
        <w:drawing>
          <wp:inline distT="0" distB="0" distL="0" distR="0">
            <wp:extent cx="1828800" cy="70358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0" cstate="print"/>
                    <a:srcRect/>
                    <a:stretch>
                      <a:fillRect/>
                    </a:stretch>
                  </pic:blipFill>
                  <pic:spPr bwMode="auto">
                    <a:xfrm>
                      <a:off x="0" y="0"/>
                      <a:ext cx="1828800" cy="703580"/>
                    </a:xfrm>
                    <a:prstGeom prst="rect">
                      <a:avLst/>
                    </a:prstGeom>
                    <a:noFill/>
                    <a:ln w="9525">
                      <a:noFill/>
                      <a:miter lim="800000"/>
                      <a:headEnd/>
                      <a:tailEnd/>
                    </a:ln>
                  </pic:spPr>
                </pic:pic>
              </a:graphicData>
            </a:graphic>
          </wp:inline>
        </w:drawing>
      </w:r>
    </w:p>
    <w:p w:rsidR="00C16FF0" w:rsidRDefault="0031597A">
      <w:pPr>
        <w:pStyle w:val="pzCompanyTextblockCover"/>
        <w:jc w:val="center"/>
      </w:pPr>
      <w:proofErr w:type="spellStart"/>
      <w:r>
        <w:rPr>
          <w:color w:val="000000"/>
        </w:rPr>
        <w:t>Vernier</w:t>
      </w:r>
      <w:proofErr w:type="spellEnd"/>
      <w:r>
        <w:rPr>
          <w:color w:val="000000"/>
        </w:rPr>
        <w:t xml:space="preserve"> Software &amp; Technology</w:t>
      </w:r>
      <w:r>
        <w:br/>
      </w:r>
      <w:r>
        <w:rPr>
          <w:rStyle w:val="variable1"/>
        </w:rPr>
        <w:t>13979 SW Millikan Way • Beaverton, OR 97005-2886</w:t>
      </w:r>
      <w:r>
        <w:br/>
      </w:r>
      <w:r>
        <w:rPr>
          <w:rStyle w:val="variable1"/>
        </w:rPr>
        <w:t>Toll Free (888) 837-6437 • (503) 277-2299 • Fax (503) 277-2440</w:t>
      </w:r>
      <w:r>
        <w:br/>
      </w:r>
      <w:r>
        <w:rPr>
          <w:rStyle w:val="variable1"/>
        </w:rPr>
        <w:t>info@vernier.com • www.vernier.com</w:t>
      </w:r>
    </w:p>
    <w:p w:rsidR="00C16FF0" w:rsidRDefault="0031597A">
      <w:pPr>
        <w:pStyle w:val="p1"/>
      </w:pPr>
      <w:r>
        <w:rPr>
          <w:color w:val="000000"/>
        </w:rPr>
        <w:t>Rev. 6/9/16</w:t>
      </w:r>
    </w:p>
    <w:p w:rsidR="00C16FF0" w:rsidRDefault="0031597A">
      <w:pPr>
        <w:pStyle w:val="p1"/>
      </w:pPr>
      <w:r>
        <w:rPr>
          <w:color w:val="000000"/>
        </w:rPr>
        <w:t xml:space="preserve">Logger </w:t>
      </w:r>
      <w:r>
        <w:rPr>
          <w:rStyle w:val="i1"/>
        </w:rPr>
        <w:t>Pro,</w:t>
      </w:r>
      <w:r>
        <w:rPr>
          <w:color w:val="000000"/>
        </w:rPr>
        <w:t xml:space="preserve"> Logger </w:t>
      </w:r>
      <w:proofErr w:type="spellStart"/>
      <w:r>
        <w:rPr>
          <w:color w:val="000000"/>
        </w:rPr>
        <w:t>Lite</w:t>
      </w:r>
      <w:proofErr w:type="spellEnd"/>
      <w:r>
        <w:rPr>
          <w:color w:val="000000"/>
        </w:rPr>
        <w:t xml:space="preserve">, </w:t>
      </w:r>
      <w:proofErr w:type="spellStart"/>
      <w:r>
        <w:rPr>
          <w:color w:val="000000"/>
        </w:rPr>
        <w:t>Vernier</w:t>
      </w:r>
      <w:proofErr w:type="spellEnd"/>
      <w:r>
        <w:rPr>
          <w:color w:val="000000"/>
        </w:rPr>
        <w:t xml:space="preserve"> </w:t>
      </w:r>
      <w:proofErr w:type="spellStart"/>
      <w:r>
        <w:rPr>
          <w:color w:val="000000"/>
        </w:rPr>
        <w:t>LabQuest</w:t>
      </w:r>
      <w:proofErr w:type="spellEnd"/>
      <w:r>
        <w:rPr>
          <w:color w:val="000000"/>
        </w:rPr>
        <w:t xml:space="preserve"> 2, </w:t>
      </w:r>
      <w:proofErr w:type="spellStart"/>
      <w:r>
        <w:rPr>
          <w:color w:val="000000"/>
        </w:rPr>
        <w:t>LabQuest</w:t>
      </w:r>
      <w:proofErr w:type="spellEnd"/>
      <w:r>
        <w:rPr>
          <w:color w:val="000000"/>
        </w:rPr>
        <w:t xml:space="preserve"> Mini, and other marks shown are our trademarks or registered trademarks in the United States.</w:t>
      </w:r>
    </w:p>
    <w:p w:rsidR="00C16FF0" w:rsidRDefault="0031597A">
      <w:pPr>
        <w:pStyle w:val="p1"/>
      </w:pPr>
      <w:r>
        <w:rPr>
          <w:color w:val="000000"/>
        </w:rPr>
        <w:t>All other marks not owned by us that appear herein are the property of their respective owners, who may or may not be affiliated with, connected to, or sponsored by us.</w:t>
      </w:r>
    </w:p>
    <w:sectPr w:rsidR="00C16FF0" w:rsidSect="00C16FF0">
      <w:headerReference w:type="even" r:id="rId21"/>
      <w:headerReference w:type="default" r:id="rId22"/>
      <w:footerReference w:type="even" r:id="rId23"/>
      <w:footerReference w:type="default" r:id="rId24"/>
      <w:headerReference w:type="first" r:id="rId25"/>
      <w:footerReference w:type="first" r:id="rId26"/>
      <w:type w:val="oddPage"/>
      <w:pgSz w:w="7920" w:h="12240"/>
      <w:pgMar w:top="360" w:right="360" w:bottom="720" w:left="3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78" w:rsidRDefault="002B1378" w:rsidP="00C16FF0">
      <w:r>
        <w:separator/>
      </w:r>
    </w:p>
  </w:endnote>
  <w:endnote w:type="continuationSeparator" w:id="0">
    <w:p w:rsidR="002B1378" w:rsidRDefault="002B1378" w:rsidP="00C16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4A0"/>
    </w:tblPr>
    <w:tblGrid>
      <w:gridCol w:w="7220"/>
    </w:tblGrid>
    <w:tr w:rsidR="00C16FF0">
      <w:tc>
        <w:tcPr>
          <w:tcW w:w="7140" w:type="dxa"/>
        </w:tcPr>
        <w:p w:rsidR="00C16FF0" w:rsidRDefault="004B174B">
          <w:pPr>
            <w:pStyle w:val="td1"/>
          </w:pPr>
          <w:r>
            <w:rPr>
              <w:rStyle w:val="variable"/>
            </w:rPr>
            <w:fldChar w:fldCharType="begin"/>
          </w:r>
          <w:r w:rsidR="0031597A">
            <w:rPr>
              <w:rStyle w:val="variable"/>
            </w:rPr>
            <w:instrText xml:space="preserve"> PAGE \* Arabic  \* MERGEFORMAT </w:instrText>
          </w:r>
          <w:r>
            <w:rPr>
              <w:rStyle w:val="variable"/>
            </w:rPr>
            <w:fldChar w:fldCharType="separate"/>
          </w:r>
          <w:r w:rsidR="003420ED">
            <w:rPr>
              <w:rStyle w:val="variable"/>
              <w:noProof/>
            </w:rPr>
            <w:t>2</w:t>
          </w:r>
          <w:r>
            <w:rPr>
              <w:rStyle w:val="variable"/>
            </w:rPr>
            <w:fldChar w:fldCharType="end"/>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4A0"/>
    </w:tblPr>
    <w:tblGrid>
      <w:gridCol w:w="7220"/>
    </w:tblGrid>
    <w:tr w:rsidR="00C16FF0">
      <w:tc>
        <w:tcPr>
          <w:tcW w:w="7140" w:type="dxa"/>
        </w:tcPr>
        <w:p w:rsidR="00C16FF0" w:rsidRDefault="004B174B">
          <w:pPr>
            <w:pStyle w:val="td1"/>
          </w:pPr>
          <w:r>
            <w:rPr>
              <w:rStyle w:val="variable"/>
            </w:rPr>
            <w:fldChar w:fldCharType="begin"/>
          </w:r>
          <w:r w:rsidR="0031597A">
            <w:rPr>
              <w:rStyle w:val="variable"/>
            </w:rPr>
            <w:instrText xml:space="preserve"> PAGE \* Arabic  \* MERGEFORMAT </w:instrText>
          </w:r>
          <w:r>
            <w:rPr>
              <w:rStyle w:val="variable"/>
            </w:rPr>
            <w:fldChar w:fldCharType="separate"/>
          </w:r>
          <w:r w:rsidR="003420ED">
            <w:rPr>
              <w:rStyle w:val="variable"/>
              <w:noProof/>
            </w:rPr>
            <w:t>1</w:t>
          </w:r>
          <w:r>
            <w:rPr>
              <w:rStyle w:val="variable"/>
            </w:rPr>
            <w:fldChar w:fldCharType="end"/>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0C" w:rsidRDefault="00FD0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78" w:rsidRDefault="002B1378" w:rsidP="00C16FF0">
      <w:r>
        <w:separator/>
      </w:r>
    </w:p>
  </w:footnote>
  <w:footnote w:type="continuationSeparator" w:id="0">
    <w:p w:rsidR="002B1378" w:rsidRDefault="002B1378" w:rsidP="00C16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F0" w:rsidRDefault="00C16FF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F0" w:rsidRDefault="00C16F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0C" w:rsidRDefault="00FD0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5B4F"/>
    <w:multiLevelType w:val="multilevel"/>
    <w:tmpl w:val="75E2F9C8"/>
    <w:lvl w:ilvl="0">
      <w:start w:val="1"/>
      <w:numFmt w:val="decimal"/>
      <w:lvlText w:val="%1."/>
      <w:lvlJc w:val="right"/>
      <w:pPr>
        <w:tabs>
          <w:tab w:val="num" w:pos="300"/>
        </w:tabs>
        <w:ind w:left="300" w:hanging="210"/>
        <w:jc w:val="left"/>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0254"/>
    <w:multiLevelType w:val="multilevel"/>
    <w:tmpl w:val="D8F6F3E8"/>
    <w:lvl w:ilvl="0">
      <w:start w:val="1"/>
      <w:numFmt w:val="decimal"/>
      <w:lvlText w:val="%1."/>
      <w:lvlJc w:val="right"/>
      <w:pPr>
        <w:tabs>
          <w:tab w:val="num" w:pos="0"/>
        </w:tabs>
        <w:spacing w:after="100"/>
        <w:ind w:left="0" w:hanging="210"/>
        <w:jc w:val="left"/>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FD611D"/>
    <w:multiLevelType w:val="multilevel"/>
    <w:tmpl w:val="DFF41C12"/>
    <w:lvl w:ilvl="0">
      <w:numFmt w:val="bullet"/>
      <w:lvlText w:val=""/>
      <w:lvlJc w:val="right"/>
      <w:pPr>
        <w:tabs>
          <w:tab w:val="num" w:pos="300"/>
        </w:tabs>
        <w:ind w:left="300" w:hanging="210"/>
        <w:jc w:val="left"/>
      </w:pPr>
      <w:rPr>
        <w:rFonts w:ascii="Times New Roman"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07248D"/>
    <w:multiLevelType w:val="multilevel"/>
    <w:tmpl w:val="DEECA524"/>
    <w:lvl w:ilvl="0">
      <w:start w:val="1"/>
      <w:numFmt w:val="decimal"/>
      <w:lvlText w:val="%1."/>
      <w:lvlJc w:val="right"/>
      <w:pPr>
        <w:tabs>
          <w:tab w:val="num" w:pos="0"/>
        </w:tabs>
        <w:spacing w:after="100"/>
        <w:ind w:left="0" w:hanging="210"/>
        <w:jc w:val="left"/>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E47554"/>
    <w:multiLevelType w:val="multilevel"/>
    <w:tmpl w:val="82AC8DC2"/>
    <w:lvl w:ilvl="0">
      <w:numFmt w:val="bullet"/>
      <w:lvlText w:val=""/>
      <w:lvlJc w:val="right"/>
      <w:pPr>
        <w:tabs>
          <w:tab w:val="num" w:pos="300"/>
        </w:tabs>
        <w:ind w:left="300" w:hanging="210"/>
        <w:jc w:val="left"/>
      </w:pPr>
      <w:rPr>
        <w:rFonts w:ascii="Times New Roman"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F41A35"/>
    <w:multiLevelType w:val="multilevel"/>
    <w:tmpl w:val="0FAA2DB0"/>
    <w:lvl w:ilvl="0">
      <w:start w:val="1"/>
      <w:numFmt w:val="decimal"/>
      <w:lvlText w:val="%1."/>
      <w:lvlJc w:val="right"/>
      <w:pPr>
        <w:tabs>
          <w:tab w:val="num" w:pos="300"/>
        </w:tabs>
        <w:ind w:left="300" w:hanging="210"/>
        <w:jc w:val="left"/>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evenAndOddHeaders/>
  <w:characterSpacingControl w:val="doNotCompress"/>
  <w:footnotePr>
    <w:footnote w:id="-1"/>
    <w:footnote w:id="0"/>
  </w:footnotePr>
  <w:endnotePr>
    <w:endnote w:id="-1"/>
    <w:endnote w:id="0"/>
  </w:endnotePr>
  <w:compat/>
  <w:rsids>
    <w:rsidRoot w:val="00C16FF0"/>
    <w:rsid w:val="002B1378"/>
    <w:rsid w:val="0031597A"/>
    <w:rsid w:val="003420ED"/>
    <w:rsid w:val="004B174B"/>
    <w:rsid w:val="005A672E"/>
    <w:rsid w:val="008404DB"/>
    <w:rsid w:val="00994675"/>
    <w:rsid w:val="00C16FF0"/>
    <w:rsid w:val="00E001CF"/>
    <w:rsid w:val="00F565DE"/>
    <w:rsid w:val="00FD0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565DE"/>
  </w:style>
  <w:style w:type="paragraph" w:styleId="Heading1">
    <w:name w:val="heading 1"/>
    <w:qFormat/>
    <w:rsid w:val="00C16FF0"/>
    <w:pPr>
      <w:outlineLvl w:val="0"/>
    </w:pPr>
  </w:style>
  <w:style w:type="paragraph" w:styleId="Heading2">
    <w:name w:val="heading 2"/>
    <w:qFormat/>
    <w:rsid w:val="00C16FF0"/>
    <w:pPr>
      <w:outlineLvl w:val="1"/>
    </w:pPr>
  </w:style>
  <w:style w:type="paragraph" w:styleId="Heading3">
    <w:name w:val="heading 3"/>
    <w:qFormat/>
    <w:rsid w:val="00C16FF0"/>
    <w:pPr>
      <w:outlineLvl w:val="2"/>
    </w:pPr>
  </w:style>
  <w:style w:type="paragraph" w:styleId="Heading4">
    <w:name w:val="heading 4"/>
    <w:qFormat/>
    <w:rsid w:val="00C16FF0"/>
    <w:pPr>
      <w:outlineLvl w:val="3"/>
    </w:pPr>
  </w:style>
  <w:style w:type="paragraph" w:styleId="Heading5">
    <w:name w:val="heading 5"/>
    <w:qFormat/>
    <w:rsid w:val="00C16FF0"/>
    <w:pPr>
      <w:outlineLvl w:val="4"/>
    </w:pPr>
  </w:style>
  <w:style w:type="paragraph" w:styleId="Heading6">
    <w:name w:val="heading 6"/>
    <w:qFormat/>
    <w:rsid w:val="00C16FF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C16FF0"/>
    <w:rPr>
      <w:rFonts w:ascii="Arial" w:hAnsi="Arial" w:cs="Arial"/>
      <w:sz w:val="24"/>
      <w:szCs w:val="24"/>
    </w:rPr>
  </w:style>
  <w:style w:type="character" w:customStyle="1" w:styleId="variable">
    <w:name w:val="variable"/>
    <w:rsid w:val="00C16FF0"/>
    <w:rPr>
      <w:rFonts w:ascii="Times New Roman" w:hAnsi="Times New Roman" w:cs="Times New Roman"/>
      <w:color w:val="000000"/>
      <w:sz w:val="20"/>
      <w:szCs w:val="20"/>
    </w:rPr>
  </w:style>
  <w:style w:type="paragraph" w:customStyle="1" w:styleId="td1">
    <w:name w:val="td_1"/>
    <w:rsid w:val="00C16FF0"/>
    <w:pPr>
      <w:jc w:val="center"/>
    </w:pPr>
    <w:rPr>
      <w:sz w:val="24"/>
      <w:szCs w:val="24"/>
    </w:rPr>
  </w:style>
  <w:style w:type="paragraph" w:customStyle="1" w:styleId="pimgRightUpper">
    <w:name w:val="p_imgRightUpper"/>
    <w:rsid w:val="00C16FF0"/>
    <w:pPr>
      <w:spacing w:after="100" w:line="15" w:lineRule="atLeast"/>
      <w:ind w:right="-75"/>
    </w:pPr>
    <w:rPr>
      <w:sz w:val="2"/>
      <w:szCs w:val="2"/>
    </w:rPr>
  </w:style>
  <w:style w:type="paragraph" w:customStyle="1" w:styleId="h1Index">
    <w:name w:val="h1_Index"/>
    <w:basedOn w:val="Heading1"/>
    <w:rsid w:val="00C16FF0"/>
    <w:pPr>
      <w:keepNext/>
    </w:pPr>
    <w:rPr>
      <w:rFonts w:ascii="Arial" w:hAnsi="Arial" w:cs="Arial"/>
      <w:b/>
      <w:bCs/>
      <w:sz w:val="40"/>
      <w:szCs w:val="40"/>
    </w:rPr>
  </w:style>
  <w:style w:type="character" w:customStyle="1" w:styleId="sub">
    <w:name w:val="sub"/>
    <w:rsid w:val="00C16FF0"/>
    <w:rPr>
      <w:color w:val="000000"/>
      <w:sz w:val="28"/>
      <w:szCs w:val="28"/>
      <w:vertAlign w:val="subscript"/>
    </w:rPr>
  </w:style>
  <w:style w:type="paragraph" w:customStyle="1" w:styleId="pSensorOrderCode">
    <w:name w:val="p_SensorOrderCode"/>
    <w:rsid w:val="00C16FF0"/>
    <w:pPr>
      <w:spacing w:after="200"/>
    </w:pPr>
    <w:rPr>
      <w:rFonts w:ascii="Arial" w:hAnsi="Arial" w:cs="Arial"/>
      <w:b/>
      <w:bCs/>
      <w:sz w:val="24"/>
      <w:szCs w:val="24"/>
    </w:rPr>
  </w:style>
  <w:style w:type="paragraph" w:customStyle="1" w:styleId="p">
    <w:name w:val="p"/>
    <w:rsid w:val="00C16FF0"/>
    <w:pPr>
      <w:spacing w:after="100"/>
    </w:pPr>
  </w:style>
  <w:style w:type="character" w:customStyle="1" w:styleId="sub1">
    <w:name w:val="sub_1"/>
    <w:rsid w:val="00C16FF0"/>
    <w:rPr>
      <w:color w:val="000000"/>
      <w:sz w:val="14"/>
      <w:szCs w:val="14"/>
      <w:vertAlign w:val="subscript"/>
    </w:rPr>
  </w:style>
  <w:style w:type="character" w:customStyle="1" w:styleId="b">
    <w:name w:val="b"/>
    <w:rsid w:val="00C16FF0"/>
    <w:rPr>
      <w:b/>
      <w:bCs/>
      <w:color w:val="000000"/>
      <w:sz w:val="20"/>
      <w:szCs w:val="20"/>
    </w:rPr>
  </w:style>
  <w:style w:type="paragraph" w:customStyle="1" w:styleId="pNote">
    <w:name w:val="p_Note"/>
    <w:rsid w:val="00C16FF0"/>
    <w:pPr>
      <w:pBdr>
        <w:top w:val="single" w:sz="6" w:space="2" w:color="000000"/>
        <w:left w:val="single" w:sz="6" w:space="2" w:color="000000"/>
        <w:bottom w:val="single" w:sz="6" w:space="2" w:color="000000"/>
        <w:right w:val="single" w:sz="6" w:space="2" w:color="000000"/>
      </w:pBdr>
      <w:spacing w:before="90" w:after="120"/>
    </w:pPr>
  </w:style>
  <w:style w:type="paragraph" w:customStyle="1" w:styleId="h2">
    <w:name w:val="h2"/>
    <w:basedOn w:val="Heading2"/>
    <w:rsid w:val="00C16FF0"/>
    <w:pPr>
      <w:keepNext/>
      <w:spacing w:before="200"/>
    </w:pPr>
    <w:rPr>
      <w:rFonts w:ascii="Arial" w:hAnsi="Arial" w:cs="Arial"/>
      <w:b/>
      <w:bCs/>
      <w:sz w:val="22"/>
      <w:szCs w:val="22"/>
    </w:rPr>
  </w:style>
  <w:style w:type="paragraph" w:customStyle="1" w:styleId="li">
    <w:name w:val="li"/>
    <w:rsid w:val="00C16FF0"/>
    <w:pPr>
      <w:ind w:left="300"/>
    </w:pPr>
  </w:style>
  <w:style w:type="character" w:customStyle="1" w:styleId="i">
    <w:name w:val="i"/>
    <w:rsid w:val="00C16FF0"/>
    <w:rPr>
      <w:i/>
      <w:iCs/>
      <w:color w:val="000000"/>
      <w:sz w:val="20"/>
      <w:szCs w:val="20"/>
    </w:rPr>
  </w:style>
  <w:style w:type="character" w:customStyle="1" w:styleId="sup">
    <w:name w:val="sup"/>
    <w:rsid w:val="00C16FF0"/>
    <w:rPr>
      <w:color w:val="000000"/>
      <w:sz w:val="14"/>
      <w:szCs w:val="14"/>
      <w:vertAlign w:val="superscript"/>
    </w:rPr>
  </w:style>
  <w:style w:type="paragraph" w:customStyle="1" w:styleId="h3">
    <w:name w:val="h3"/>
    <w:basedOn w:val="Heading3"/>
    <w:rsid w:val="00C16FF0"/>
    <w:pPr>
      <w:keepNext/>
      <w:spacing w:before="100"/>
    </w:pPr>
    <w:rPr>
      <w:rFonts w:ascii="Arial" w:hAnsi="Arial" w:cs="Arial"/>
      <w:b/>
      <w:bCs/>
      <w:sz w:val="18"/>
      <w:szCs w:val="18"/>
    </w:rPr>
  </w:style>
  <w:style w:type="paragraph" w:customStyle="1" w:styleId="li1">
    <w:name w:val="li_1"/>
    <w:rsid w:val="00C16FF0"/>
    <w:pPr>
      <w:spacing w:after="100"/>
    </w:pPr>
  </w:style>
  <w:style w:type="paragraph" w:customStyle="1" w:styleId="thTableStyle-NoLines-HeadE-Column1-Header1">
    <w:name w:val="th_TableStyle-NoLines-HeadE-Column1-Header1"/>
    <w:rsid w:val="00C16FF0"/>
    <w:rPr>
      <w:rFonts w:ascii="Arial" w:hAnsi="Arial" w:cs="Arial"/>
      <w:b/>
      <w:bCs/>
    </w:rPr>
  </w:style>
  <w:style w:type="paragraph" w:customStyle="1" w:styleId="thTableStyle-NoLines-HeadD-Column1-Header1">
    <w:name w:val="th_TableStyle-NoLines-HeadD-Column1-Header1"/>
    <w:rsid w:val="00C16FF0"/>
    <w:pPr>
      <w:jc w:val="center"/>
    </w:pPr>
    <w:rPr>
      <w:rFonts w:ascii="Arial" w:hAnsi="Arial" w:cs="Arial"/>
      <w:b/>
      <w:bCs/>
    </w:rPr>
  </w:style>
  <w:style w:type="paragraph" w:customStyle="1" w:styleId="pzCompanyTextblockCover">
    <w:name w:val="p_zCompanyTextblockCover"/>
    <w:rsid w:val="00C16FF0"/>
    <w:pPr>
      <w:spacing w:after="100"/>
    </w:pPr>
    <w:rPr>
      <w:rFonts w:ascii="Arial" w:hAnsi="Arial" w:cs="Arial"/>
      <w:sz w:val="16"/>
      <w:szCs w:val="16"/>
    </w:rPr>
  </w:style>
  <w:style w:type="character" w:customStyle="1" w:styleId="variable1">
    <w:name w:val="variable_1"/>
    <w:rsid w:val="00C16FF0"/>
    <w:rPr>
      <w:color w:val="000000"/>
      <w:sz w:val="16"/>
      <w:szCs w:val="16"/>
    </w:rPr>
  </w:style>
  <w:style w:type="paragraph" w:customStyle="1" w:styleId="p1">
    <w:name w:val="p_1"/>
    <w:rsid w:val="00C16FF0"/>
    <w:pPr>
      <w:spacing w:after="100"/>
    </w:pPr>
    <w:rPr>
      <w:sz w:val="14"/>
      <w:szCs w:val="14"/>
    </w:rPr>
  </w:style>
  <w:style w:type="character" w:customStyle="1" w:styleId="i1">
    <w:name w:val="i_1"/>
    <w:rsid w:val="00C16FF0"/>
    <w:rPr>
      <w:i/>
      <w:iCs/>
      <w:color w:val="000000"/>
      <w:sz w:val="14"/>
      <w:szCs w:val="14"/>
    </w:rPr>
  </w:style>
  <w:style w:type="paragraph" w:styleId="Header">
    <w:name w:val="header"/>
    <w:basedOn w:val="Normal"/>
    <w:link w:val="HeaderChar"/>
    <w:rsid w:val="00FD070C"/>
    <w:pPr>
      <w:tabs>
        <w:tab w:val="center" w:pos="4680"/>
        <w:tab w:val="right" w:pos="9360"/>
      </w:tabs>
    </w:pPr>
  </w:style>
  <w:style w:type="character" w:customStyle="1" w:styleId="HeaderChar">
    <w:name w:val="Header Char"/>
    <w:basedOn w:val="DefaultParagraphFont"/>
    <w:link w:val="Header"/>
    <w:rsid w:val="00FD070C"/>
  </w:style>
  <w:style w:type="paragraph" w:styleId="Footer">
    <w:name w:val="footer"/>
    <w:basedOn w:val="Normal"/>
    <w:link w:val="FooterChar"/>
    <w:rsid w:val="00FD070C"/>
    <w:pPr>
      <w:tabs>
        <w:tab w:val="center" w:pos="4680"/>
        <w:tab w:val="right" w:pos="9360"/>
      </w:tabs>
    </w:pPr>
  </w:style>
  <w:style w:type="character" w:customStyle="1" w:styleId="FooterChar">
    <w:name w:val="Footer Char"/>
    <w:basedOn w:val="DefaultParagraphFont"/>
    <w:link w:val="Footer"/>
    <w:rsid w:val="00FD070C"/>
  </w:style>
  <w:style w:type="paragraph" w:styleId="BalloonText">
    <w:name w:val="Balloon Text"/>
    <w:basedOn w:val="Normal"/>
    <w:link w:val="BalloonTextChar"/>
    <w:rsid w:val="00994675"/>
    <w:rPr>
      <w:rFonts w:ascii="Tahoma" w:hAnsi="Tahoma" w:cs="Tahoma"/>
      <w:sz w:val="16"/>
      <w:szCs w:val="16"/>
    </w:rPr>
  </w:style>
  <w:style w:type="character" w:customStyle="1" w:styleId="BalloonTextChar">
    <w:name w:val="Balloon Text Char"/>
    <w:basedOn w:val="DefaultParagraphFont"/>
    <w:link w:val="BalloonText"/>
    <w:rsid w:val="00994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nier.com/manuals/o2-bta" TargetMode="External"/><Relationship Id="rId13" Type="http://schemas.openxmlformats.org/officeDocument/2006/relationships/hyperlink" Target="http://www.vernier.com/til/3631" TargetMode="External"/><Relationship Id="rId18" Type="http://schemas.openxmlformats.org/officeDocument/2006/relationships/hyperlink" Target="http://www.vernier.com/bc-200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vernier.com/til/3394" TargetMode="External"/><Relationship Id="rId17" Type="http://schemas.openxmlformats.org/officeDocument/2006/relationships/hyperlink" Target="http://www.vernier.com/bc-25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vernier.com/til/1605"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nier.com/til/234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vernier.com/til/258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vernier.com/o2-bta" TargetMode="External"/><Relationship Id="rId19" Type="http://schemas.openxmlformats.org/officeDocument/2006/relationships/hyperlink" Target="http://www.vernier.com/co2-btl" TargetMode="External"/><Relationship Id="rId4" Type="http://schemas.openxmlformats.org/officeDocument/2006/relationships/webSettings" Target="webSettings.xml"/><Relationship Id="rId9" Type="http://schemas.openxmlformats.org/officeDocument/2006/relationships/hyperlink" Target="http://www.vernier.com/start/o2-bta" TargetMode="External"/><Relationship Id="rId14" Type="http://schemas.openxmlformats.org/officeDocument/2006/relationships/hyperlink" Target="http://www.vernier.com/til/363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1350</Words>
  <Characters>7699</Characters>
  <Application>Microsoft Office Word</Application>
  <DocSecurity>0</DocSecurity>
  <Lines>64</Lines>
  <Paragraphs>18</Paragraphs>
  <ScaleCrop>false</ScaleCrop>
  <Company>MadCap Software</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O2_Gas_Sensor_</dc:title>
  <dc:creator>MadCap Software</dc:creator>
  <cp:lastModifiedBy>ckreiger</cp:lastModifiedBy>
  <cp:revision>2</cp:revision>
  <dcterms:created xsi:type="dcterms:W3CDTF">2021-01-27T18:32:00Z</dcterms:created>
  <dcterms:modified xsi:type="dcterms:W3CDTF">2021-01-27T18:32:00Z</dcterms:modified>
</cp:coreProperties>
</file>